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5FCB" w14:textId="6B87A7E5" w:rsidR="00020080" w:rsidRPr="00D80ADF" w:rsidRDefault="00647E12" w:rsidP="005E37A3">
      <w:pPr>
        <w:jc w:val="center"/>
      </w:pPr>
      <w:bookmarkStart w:id="0" w:name="_Hlk79658900"/>
      <w:r w:rsidRPr="00D80ADF">
        <w:t>Cognizability as the Neglected Fourth C of</w:t>
      </w:r>
      <w:r w:rsidR="00AB0C2C">
        <w:t xml:space="preserve"> </w:t>
      </w:r>
      <w:r w:rsidRPr="00D80ADF">
        <w:t>Good Government Redistricting Criteria</w:t>
      </w:r>
    </w:p>
    <w:p w14:paraId="4323C570" w14:textId="4E5A304E" w:rsidR="00020080" w:rsidRPr="00D80ADF" w:rsidRDefault="00020080" w:rsidP="005E37A3">
      <w:pPr>
        <w:jc w:val="center"/>
      </w:pPr>
    </w:p>
    <w:p w14:paraId="74FBF946" w14:textId="77777777" w:rsidR="00020080" w:rsidRPr="00D80ADF" w:rsidRDefault="00020080" w:rsidP="005E37A3">
      <w:pPr>
        <w:jc w:val="center"/>
      </w:pPr>
    </w:p>
    <w:p w14:paraId="1663109F" w14:textId="77777777" w:rsidR="005E37A3" w:rsidRPr="00D80ADF" w:rsidRDefault="005E37A3" w:rsidP="005E37A3">
      <w:pPr>
        <w:jc w:val="center"/>
      </w:pPr>
    </w:p>
    <w:p w14:paraId="718171E9" w14:textId="613869B9" w:rsidR="005E37A3" w:rsidRPr="00D80ADF" w:rsidRDefault="005E37A3" w:rsidP="005E37A3">
      <w:pPr>
        <w:jc w:val="center"/>
      </w:pPr>
      <w:r w:rsidRPr="00D80ADF">
        <w:t>Bernard Grofman</w:t>
      </w:r>
      <w:r w:rsidR="00020080" w:rsidRPr="00D80ADF">
        <w:rPr>
          <w:rStyle w:val="EndnoteReference"/>
        </w:rPr>
        <w:t xml:space="preserve"> </w:t>
      </w:r>
    </w:p>
    <w:p w14:paraId="0DFBE2CC" w14:textId="77777777" w:rsidR="005E37A3" w:rsidRPr="00D80ADF" w:rsidRDefault="005E37A3" w:rsidP="005E37A3">
      <w:pPr>
        <w:jc w:val="center"/>
      </w:pPr>
      <w:r w:rsidRPr="00D80ADF">
        <w:t>Distinguished Professor of Political Science</w:t>
      </w:r>
    </w:p>
    <w:p w14:paraId="133855FF" w14:textId="77777777" w:rsidR="005E37A3" w:rsidRPr="00D80ADF" w:rsidRDefault="005E37A3" w:rsidP="005E37A3">
      <w:pPr>
        <w:jc w:val="center"/>
      </w:pPr>
      <w:r w:rsidRPr="00D80ADF">
        <w:t>University of California, Irvine</w:t>
      </w:r>
    </w:p>
    <w:p w14:paraId="275E65A5" w14:textId="77777777" w:rsidR="009E17DB" w:rsidRPr="00D80ADF" w:rsidRDefault="009E17DB" w:rsidP="005E37A3">
      <w:pPr>
        <w:jc w:val="center"/>
        <w:rPr>
          <w:rStyle w:val="Hyperlink"/>
        </w:rPr>
      </w:pPr>
    </w:p>
    <w:p w14:paraId="618F7FA9" w14:textId="1E121136" w:rsidR="00020080" w:rsidRPr="00D80ADF" w:rsidRDefault="0063389B" w:rsidP="00216F20">
      <w:pPr>
        <w:jc w:val="center"/>
        <w:rPr>
          <w:rStyle w:val="Hyperlink"/>
          <w:u w:val="none"/>
        </w:rPr>
      </w:pPr>
      <w:r w:rsidRPr="00D80ADF">
        <w:rPr>
          <w:rStyle w:val="Hyperlink"/>
          <w:u w:val="none"/>
        </w:rPr>
        <w:t xml:space="preserve">August </w:t>
      </w:r>
      <w:r w:rsidR="00B469CA" w:rsidRPr="00D80ADF">
        <w:rPr>
          <w:rStyle w:val="Hyperlink"/>
          <w:u w:val="none"/>
        </w:rPr>
        <w:t>1</w:t>
      </w:r>
      <w:r w:rsidR="00647E12" w:rsidRPr="00D80ADF">
        <w:rPr>
          <w:rStyle w:val="Hyperlink"/>
          <w:u w:val="none"/>
        </w:rPr>
        <w:t>5</w:t>
      </w:r>
      <w:r w:rsidRPr="00D80ADF">
        <w:rPr>
          <w:rStyle w:val="Hyperlink"/>
          <w:u w:val="none"/>
        </w:rPr>
        <w:t>, 2021</w:t>
      </w:r>
    </w:p>
    <w:p w14:paraId="5EC82453" w14:textId="3F265D51" w:rsidR="00374624" w:rsidRPr="00D80ADF" w:rsidRDefault="00374624" w:rsidP="005E37A3">
      <w:pPr>
        <w:jc w:val="center"/>
        <w:rPr>
          <w:rStyle w:val="Hyperlink"/>
          <w:u w:val="none"/>
        </w:rPr>
      </w:pPr>
    </w:p>
    <w:p w14:paraId="27250729" w14:textId="5F0B469D" w:rsidR="00020080" w:rsidRPr="00D80ADF" w:rsidRDefault="00374624" w:rsidP="00216F20">
      <w:pPr>
        <w:jc w:val="center"/>
        <w:rPr>
          <w:rStyle w:val="Hyperlink"/>
          <w:u w:val="none"/>
        </w:rPr>
      </w:pPr>
      <w:r w:rsidRPr="00D80ADF">
        <w:rPr>
          <w:rStyle w:val="Hyperlink"/>
          <w:u w:val="none"/>
        </w:rPr>
        <w:t xml:space="preserve">KEY WORDS:  </w:t>
      </w:r>
      <w:r w:rsidR="00647E12" w:rsidRPr="00D80ADF">
        <w:rPr>
          <w:rStyle w:val="Hyperlink"/>
          <w:u w:val="none"/>
        </w:rPr>
        <w:t>redistricting criteria</w:t>
      </w:r>
      <w:r w:rsidRPr="00D80ADF">
        <w:rPr>
          <w:rStyle w:val="Hyperlink"/>
          <w:u w:val="none"/>
        </w:rPr>
        <w:t xml:space="preserve">; </w:t>
      </w:r>
      <w:r w:rsidR="00647E12" w:rsidRPr="00D80ADF">
        <w:rPr>
          <w:rStyle w:val="Hyperlink"/>
          <w:u w:val="none"/>
        </w:rPr>
        <w:t>good government, cognizability</w:t>
      </w:r>
      <w:r w:rsidR="00FF4E9E" w:rsidRPr="00D80ADF">
        <w:rPr>
          <w:rStyle w:val="Hyperlink"/>
          <w:u w:val="none"/>
        </w:rPr>
        <w:t>, communities of interest</w:t>
      </w:r>
      <w:r w:rsidR="00647E12" w:rsidRPr="00D80ADF">
        <w:rPr>
          <w:rStyle w:val="Hyperlink"/>
          <w:u w:val="none"/>
        </w:rPr>
        <w:t xml:space="preserve"> </w:t>
      </w:r>
    </w:p>
    <w:p w14:paraId="6A767A14" w14:textId="0196E393" w:rsidR="00020080" w:rsidRDefault="00020080" w:rsidP="005E37A3">
      <w:pPr>
        <w:jc w:val="center"/>
        <w:rPr>
          <w:rStyle w:val="Hyperlink"/>
          <w:rFonts w:ascii="Arial" w:hAnsi="Arial" w:cs="Arial"/>
          <w:u w:val="none"/>
        </w:rPr>
      </w:pPr>
    </w:p>
    <w:bookmarkEnd w:id="0"/>
    <w:p w14:paraId="7A04D5C7" w14:textId="0A4B30F7" w:rsidR="00374624" w:rsidRDefault="00374624" w:rsidP="00216F20">
      <w:pPr>
        <w:rPr>
          <w:rFonts w:ascii="Arial" w:hAnsi="Arial" w:cs="Arial"/>
        </w:rPr>
      </w:pPr>
    </w:p>
    <w:p w14:paraId="0B34363D" w14:textId="1F7FE135" w:rsidR="00020080" w:rsidRDefault="00647E12" w:rsidP="00020080">
      <w:pPr>
        <w:jc w:val="center"/>
        <w:rPr>
          <w:rFonts w:ascii="Arial" w:hAnsi="Arial" w:cs="Arial"/>
        </w:rPr>
      </w:pPr>
      <w:r>
        <w:rPr>
          <w:rFonts w:ascii="Arial" w:hAnsi="Arial" w:cs="Arial"/>
        </w:rPr>
        <w:t xml:space="preserve"> </w:t>
      </w:r>
    </w:p>
    <w:p w14:paraId="6D117915" w14:textId="77777777" w:rsidR="00020080" w:rsidRDefault="00020080" w:rsidP="00020080">
      <w:pPr>
        <w:jc w:val="center"/>
        <w:rPr>
          <w:rFonts w:ascii="Arial" w:hAnsi="Arial" w:cs="Arial"/>
        </w:rPr>
      </w:pPr>
    </w:p>
    <w:p w14:paraId="525EF9F0" w14:textId="77777777" w:rsidR="00020080" w:rsidRPr="00DE1C21" w:rsidRDefault="00020080" w:rsidP="00020080">
      <w:pPr>
        <w:jc w:val="center"/>
        <w:rPr>
          <w:rFonts w:ascii="Arial" w:hAnsi="Arial" w:cs="Arial"/>
        </w:rPr>
      </w:pPr>
    </w:p>
    <w:p w14:paraId="20A747D4" w14:textId="77777777" w:rsidR="00020080" w:rsidRPr="00DE1C21" w:rsidRDefault="00020080" w:rsidP="00020080">
      <w:pPr>
        <w:jc w:val="center"/>
        <w:rPr>
          <w:rFonts w:ascii="Arial" w:hAnsi="Arial" w:cs="Arial"/>
        </w:rPr>
      </w:pPr>
    </w:p>
    <w:p w14:paraId="55AFC36E" w14:textId="07EF604F" w:rsidR="00020080" w:rsidRDefault="00647E12" w:rsidP="00020080">
      <w:pPr>
        <w:jc w:val="center"/>
        <w:rPr>
          <w:rStyle w:val="Hyperlink"/>
          <w:rFonts w:ascii="Arial" w:hAnsi="Arial" w:cs="Arial"/>
          <w:u w:val="none"/>
        </w:rPr>
      </w:pPr>
      <w:r>
        <w:rPr>
          <w:rFonts w:ascii="Arial" w:hAnsi="Arial" w:cs="Arial"/>
        </w:rPr>
        <w:t xml:space="preserve"> </w:t>
      </w:r>
    </w:p>
    <w:p w14:paraId="52E93E68" w14:textId="77777777" w:rsidR="00020080" w:rsidRDefault="00020080" w:rsidP="00020080">
      <w:pPr>
        <w:jc w:val="center"/>
        <w:rPr>
          <w:rStyle w:val="Hyperlink"/>
          <w:rFonts w:ascii="Arial" w:hAnsi="Arial" w:cs="Arial"/>
          <w:u w:val="none"/>
        </w:rPr>
      </w:pPr>
    </w:p>
    <w:p w14:paraId="6F7E10C6" w14:textId="77777777" w:rsidR="00020080" w:rsidRPr="00647E12" w:rsidRDefault="00020080" w:rsidP="00020080">
      <w:pPr>
        <w:jc w:val="center"/>
        <w:rPr>
          <w:rStyle w:val="Hyperlink"/>
          <w:rFonts w:ascii="Arial" w:hAnsi="Arial" w:cs="Arial"/>
          <w:u w:val="none"/>
        </w:rPr>
      </w:pPr>
    </w:p>
    <w:p w14:paraId="525665CD" w14:textId="77777777" w:rsidR="00020080" w:rsidRPr="00647E12" w:rsidRDefault="00020080" w:rsidP="00020080">
      <w:pPr>
        <w:jc w:val="center"/>
        <w:rPr>
          <w:rStyle w:val="Hyperlink"/>
          <w:rFonts w:ascii="Arial" w:hAnsi="Arial" w:cs="Arial"/>
          <w:u w:val="none"/>
        </w:rPr>
      </w:pPr>
    </w:p>
    <w:p w14:paraId="5B48CDBB" w14:textId="77777777" w:rsidR="00020080" w:rsidRPr="00647E12" w:rsidRDefault="00020080" w:rsidP="00647E12">
      <w:pPr>
        <w:rPr>
          <w:rStyle w:val="Hyperlink"/>
          <w:rFonts w:ascii="Arial" w:hAnsi="Arial" w:cs="Arial"/>
          <w:u w:val="none"/>
        </w:rPr>
      </w:pPr>
    </w:p>
    <w:p w14:paraId="13097373" w14:textId="77777777" w:rsidR="00020080" w:rsidRPr="00647E12" w:rsidRDefault="00020080" w:rsidP="00020080">
      <w:pPr>
        <w:jc w:val="center"/>
        <w:rPr>
          <w:rStyle w:val="Hyperlink"/>
          <w:rFonts w:ascii="Arial" w:hAnsi="Arial" w:cs="Arial"/>
          <w:u w:val="none"/>
        </w:rPr>
      </w:pPr>
    </w:p>
    <w:p w14:paraId="6C9EC78F" w14:textId="77777777" w:rsidR="00020080" w:rsidRDefault="00020080" w:rsidP="00020080">
      <w:pPr>
        <w:jc w:val="center"/>
        <w:rPr>
          <w:rStyle w:val="Hyperlink"/>
          <w:rFonts w:ascii="Arial" w:hAnsi="Arial" w:cs="Arial"/>
          <w:u w:val="none"/>
        </w:rPr>
      </w:pPr>
    </w:p>
    <w:p w14:paraId="225AAF6A" w14:textId="77777777" w:rsidR="00020080" w:rsidRDefault="00020080" w:rsidP="00020080">
      <w:pPr>
        <w:jc w:val="center"/>
        <w:rPr>
          <w:rStyle w:val="Hyperlink"/>
          <w:rFonts w:ascii="Arial" w:hAnsi="Arial" w:cs="Arial"/>
          <w:u w:val="none"/>
        </w:rPr>
      </w:pPr>
    </w:p>
    <w:p w14:paraId="0C082FBB" w14:textId="77777777" w:rsidR="00020080" w:rsidRDefault="00020080" w:rsidP="00020080">
      <w:pPr>
        <w:jc w:val="center"/>
        <w:rPr>
          <w:rStyle w:val="Hyperlink"/>
          <w:rFonts w:ascii="Arial" w:hAnsi="Arial" w:cs="Arial"/>
          <w:u w:val="none"/>
        </w:rPr>
      </w:pPr>
    </w:p>
    <w:p w14:paraId="311BD195" w14:textId="77777777" w:rsidR="00020080" w:rsidRDefault="00020080" w:rsidP="00020080">
      <w:pPr>
        <w:jc w:val="center"/>
        <w:rPr>
          <w:rStyle w:val="Hyperlink"/>
          <w:rFonts w:ascii="Arial" w:hAnsi="Arial" w:cs="Arial"/>
          <w:u w:val="none"/>
        </w:rPr>
      </w:pPr>
    </w:p>
    <w:p w14:paraId="134400E5" w14:textId="77777777" w:rsidR="00020080" w:rsidRDefault="00020080" w:rsidP="00020080">
      <w:pPr>
        <w:jc w:val="center"/>
        <w:rPr>
          <w:rStyle w:val="Hyperlink"/>
          <w:rFonts w:ascii="Arial" w:hAnsi="Arial" w:cs="Arial"/>
          <w:u w:val="none"/>
        </w:rPr>
      </w:pPr>
    </w:p>
    <w:p w14:paraId="32E31AC6" w14:textId="77777777" w:rsidR="00020080" w:rsidRDefault="00020080" w:rsidP="00020080">
      <w:pPr>
        <w:jc w:val="center"/>
        <w:rPr>
          <w:rStyle w:val="Hyperlink"/>
          <w:rFonts w:ascii="Arial" w:hAnsi="Arial" w:cs="Arial"/>
          <w:u w:val="none"/>
        </w:rPr>
      </w:pPr>
    </w:p>
    <w:p w14:paraId="4D86DFA4" w14:textId="77777777" w:rsidR="00020080" w:rsidRDefault="00020080" w:rsidP="00020080">
      <w:pPr>
        <w:jc w:val="center"/>
        <w:rPr>
          <w:rStyle w:val="Hyperlink"/>
          <w:rFonts w:ascii="Arial" w:hAnsi="Arial" w:cs="Arial"/>
          <w:u w:val="none"/>
        </w:rPr>
      </w:pPr>
    </w:p>
    <w:p w14:paraId="4A3E7BE2" w14:textId="77777777" w:rsidR="00020080" w:rsidRDefault="00020080" w:rsidP="00020080">
      <w:pPr>
        <w:jc w:val="center"/>
        <w:rPr>
          <w:rStyle w:val="Hyperlink"/>
          <w:rFonts w:ascii="Arial" w:hAnsi="Arial" w:cs="Arial"/>
          <w:u w:val="none"/>
        </w:rPr>
      </w:pPr>
    </w:p>
    <w:p w14:paraId="5A2356C1" w14:textId="77777777" w:rsidR="00020080" w:rsidRDefault="00020080" w:rsidP="00020080">
      <w:pPr>
        <w:jc w:val="center"/>
        <w:rPr>
          <w:rStyle w:val="Hyperlink"/>
          <w:rFonts w:ascii="Arial" w:hAnsi="Arial" w:cs="Arial"/>
          <w:u w:val="none"/>
        </w:rPr>
      </w:pPr>
    </w:p>
    <w:p w14:paraId="18C41929" w14:textId="77777777" w:rsidR="00020080" w:rsidRDefault="00020080" w:rsidP="00020080">
      <w:pPr>
        <w:jc w:val="center"/>
        <w:rPr>
          <w:rStyle w:val="Hyperlink"/>
          <w:rFonts w:ascii="Arial" w:hAnsi="Arial" w:cs="Arial"/>
          <w:u w:val="none"/>
        </w:rPr>
      </w:pPr>
    </w:p>
    <w:p w14:paraId="3605F4B7" w14:textId="53F60BA2" w:rsidR="00020080" w:rsidRDefault="00020080" w:rsidP="00020080">
      <w:pPr>
        <w:jc w:val="center"/>
        <w:rPr>
          <w:rStyle w:val="Hyperlink"/>
          <w:rFonts w:ascii="Arial" w:hAnsi="Arial" w:cs="Arial"/>
          <w:u w:val="none"/>
        </w:rPr>
      </w:pPr>
    </w:p>
    <w:p w14:paraId="2129392B" w14:textId="4582EF00" w:rsidR="00BE0275" w:rsidRDefault="00BE0275" w:rsidP="00020080">
      <w:pPr>
        <w:jc w:val="center"/>
        <w:rPr>
          <w:rStyle w:val="Hyperlink"/>
          <w:rFonts w:ascii="Arial" w:hAnsi="Arial" w:cs="Arial"/>
          <w:u w:val="none"/>
        </w:rPr>
      </w:pPr>
    </w:p>
    <w:p w14:paraId="4B17BEAC" w14:textId="68FAA6FF" w:rsidR="00BE0275" w:rsidRDefault="00BE0275" w:rsidP="00020080">
      <w:pPr>
        <w:jc w:val="center"/>
        <w:rPr>
          <w:rStyle w:val="Hyperlink"/>
          <w:rFonts w:ascii="Arial" w:hAnsi="Arial" w:cs="Arial"/>
          <w:u w:val="none"/>
        </w:rPr>
      </w:pPr>
    </w:p>
    <w:p w14:paraId="72E56EA8" w14:textId="66D3240E" w:rsidR="00BE0275" w:rsidRDefault="00BE0275" w:rsidP="00020080">
      <w:pPr>
        <w:jc w:val="center"/>
        <w:rPr>
          <w:rStyle w:val="Hyperlink"/>
          <w:rFonts w:ascii="Arial" w:hAnsi="Arial" w:cs="Arial"/>
          <w:u w:val="none"/>
        </w:rPr>
      </w:pPr>
    </w:p>
    <w:p w14:paraId="4D1B2532" w14:textId="256ECF86" w:rsidR="00BE0275" w:rsidRDefault="00BE0275" w:rsidP="00020080">
      <w:pPr>
        <w:jc w:val="center"/>
        <w:rPr>
          <w:rStyle w:val="Hyperlink"/>
          <w:rFonts w:ascii="Arial" w:hAnsi="Arial" w:cs="Arial"/>
          <w:u w:val="none"/>
        </w:rPr>
      </w:pPr>
    </w:p>
    <w:p w14:paraId="271C11C9" w14:textId="7AE31825" w:rsidR="00BE0275" w:rsidRDefault="00BE0275" w:rsidP="00020080">
      <w:pPr>
        <w:jc w:val="center"/>
        <w:rPr>
          <w:rStyle w:val="Hyperlink"/>
          <w:rFonts w:ascii="Arial" w:hAnsi="Arial" w:cs="Arial"/>
          <w:u w:val="none"/>
        </w:rPr>
      </w:pPr>
    </w:p>
    <w:p w14:paraId="75223242" w14:textId="77777777" w:rsidR="00BE0275" w:rsidRDefault="00BE0275" w:rsidP="00020080">
      <w:pPr>
        <w:jc w:val="center"/>
        <w:rPr>
          <w:rStyle w:val="Hyperlink"/>
          <w:rFonts w:ascii="Arial" w:hAnsi="Arial" w:cs="Arial"/>
          <w:u w:val="none"/>
        </w:rPr>
      </w:pPr>
    </w:p>
    <w:p w14:paraId="1D89DA83" w14:textId="77777777" w:rsidR="00020080" w:rsidRDefault="00020080" w:rsidP="00020080">
      <w:pPr>
        <w:jc w:val="center"/>
        <w:rPr>
          <w:rStyle w:val="Hyperlink"/>
          <w:rFonts w:ascii="Arial" w:hAnsi="Arial" w:cs="Arial"/>
          <w:u w:val="none"/>
        </w:rPr>
      </w:pPr>
    </w:p>
    <w:p w14:paraId="4C9098C0" w14:textId="77777777" w:rsidR="00020080" w:rsidRDefault="00020080" w:rsidP="00020080">
      <w:pPr>
        <w:jc w:val="center"/>
        <w:rPr>
          <w:rStyle w:val="Hyperlink"/>
          <w:rFonts w:ascii="Arial" w:hAnsi="Arial" w:cs="Arial"/>
          <w:u w:val="none"/>
        </w:rPr>
      </w:pPr>
    </w:p>
    <w:p w14:paraId="6240CA53" w14:textId="77777777" w:rsidR="00020080" w:rsidRDefault="00020080" w:rsidP="00020080">
      <w:pPr>
        <w:jc w:val="center"/>
        <w:rPr>
          <w:rStyle w:val="Hyperlink"/>
          <w:rFonts w:ascii="Arial" w:hAnsi="Arial" w:cs="Arial"/>
          <w:u w:val="none"/>
        </w:rPr>
      </w:pPr>
    </w:p>
    <w:p w14:paraId="6A9EC46A" w14:textId="77777777" w:rsidR="00020080" w:rsidRDefault="00020080" w:rsidP="00020080">
      <w:pPr>
        <w:jc w:val="center"/>
        <w:rPr>
          <w:rStyle w:val="Hyperlink"/>
          <w:rFonts w:ascii="Arial" w:hAnsi="Arial" w:cs="Arial"/>
          <w:u w:val="none"/>
        </w:rPr>
      </w:pPr>
    </w:p>
    <w:p w14:paraId="67E216C8" w14:textId="77777777" w:rsidR="00020080" w:rsidRDefault="00020080" w:rsidP="00020080">
      <w:pPr>
        <w:rPr>
          <w:rFonts w:ascii="Arial" w:hAnsi="Arial" w:cs="Arial"/>
        </w:rPr>
      </w:pPr>
      <w:r>
        <w:rPr>
          <w:rFonts w:ascii="Arial" w:hAnsi="Arial" w:cs="Arial"/>
        </w:rPr>
        <w:t xml:space="preserve">* Grofman </w:t>
      </w:r>
      <w:proofErr w:type="gramStart"/>
      <w:r>
        <w:rPr>
          <w:rFonts w:ascii="Arial" w:hAnsi="Arial" w:cs="Arial"/>
        </w:rPr>
        <w:t>is  Distinguished</w:t>
      </w:r>
      <w:proofErr w:type="gramEnd"/>
      <w:r>
        <w:rPr>
          <w:rFonts w:ascii="Arial" w:hAnsi="Arial" w:cs="Arial"/>
        </w:rPr>
        <w:t xml:space="preserve"> Professor of Political Science, and Jack W. Peltason Chair, University of California, Irvine. This research was supported by </w:t>
      </w:r>
      <w:proofErr w:type="gramStart"/>
      <w:r>
        <w:rPr>
          <w:rFonts w:ascii="Arial" w:hAnsi="Arial" w:cs="Arial"/>
        </w:rPr>
        <w:t>the  Peltason</w:t>
      </w:r>
      <w:proofErr w:type="gramEnd"/>
      <w:r>
        <w:rPr>
          <w:rFonts w:ascii="Arial" w:hAnsi="Arial" w:cs="Arial"/>
        </w:rPr>
        <w:t xml:space="preserve"> Chair.</w:t>
      </w:r>
    </w:p>
    <w:p w14:paraId="060B3C38" w14:textId="77777777" w:rsidR="0028778A" w:rsidRPr="00DE1C21" w:rsidRDefault="0028778A" w:rsidP="0028778A">
      <w:pPr>
        <w:rPr>
          <w:rFonts w:ascii="Arial" w:hAnsi="Arial" w:cs="Arial"/>
        </w:rPr>
      </w:pPr>
    </w:p>
    <w:p w14:paraId="66FE4A3A" w14:textId="41F8837A" w:rsidR="00FF4E9E" w:rsidRPr="00D80ADF" w:rsidRDefault="00647E12" w:rsidP="00FF4E9E">
      <w:pPr>
        <w:ind w:firstLine="720"/>
      </w:pPr>
      <w:r w:rsidRPr="00D80ADF">
        <w:t xml:space="preserve">Everyone who </w:t>
      </w:r>
      <w:proofErr w:type="gramStart"/>
      <w:r w:rsidRPr="00D80ADF">
        <w:t xml:space="preserve">has </w:t>
      </w:r>
      <w:r w:rsidR="00B83592" w:rsidRPr="00D80ADF">
        <w:t xml:space="preserve"> ever</w:t>
      </w:r>
      <w:proofErr w:type="gramEnd"/>
      <w:r w:rsidR="00B83592" w:rsidRPr="00D80ADF">
        <w:t xml:space="preserve"> studied</w:t>
      </w:r>
      <w:r w:rsidRPr="00D80ADF">
        <w:t xml:space="preserve"> redistricting is aware of the three Cs of what are commonly referred to as </w:t>
      </w:r>
      <w:r w:rsidRPr="00D80ADF">
        <w:rPr>
          <w:i/>
          <w:iCs/>
        </w:rPr>
        <w:t>good government</w:t>
      </w:r>
      <w:r w:rsidRPr="00D80ADF">
        <w:t xml:space="preserve"> redistricting criteria, namely contiguity, communities of interest, and compactness. But there is a much neglected fourth C</w:t>
      </w:r>
      <w:r w:rsidR="00D80ADF" w:rsidRPr="00D80ADF">
        <w:t>,</w:t>
      </w:r>
      <w:r w:rsidRPr="00D80ADF">
        <w:t xml:space="preserve"> </w:t>
      </w:r>
      <w:r w:rsidRPr="00D80ADF">
        <w:rPr>
          <w:i/>
          <w:iCs/>
        </w:rPr>
        <w:t>cognizability</w:t>
      </w:r>
      <w:r w:rsidRPr="00D80ADF">
        <w:t xml:space="preserve">. </w:t>
      </w:r>
    </w:p>
    <w:p w14:paraId="451B4E27" w14:textId="63A55DC2" w:rsidR="00B83592" w:rsidRPr="00CA50D4" w:rsidRDefault="00C77148" w:rsidP="00FF4E9E">
      <w:pPr>
        <w:ind w:firstLine="720"/>
      </w:pPr>
      <w:r w:rsidRPr="00CA50D4">
        <w:t xml:space="preserve">The idea of </w:t>
      </w:r>
      <w:r w:rsidRPr="00D80ADF">
        <w:rPr>
          <w:i/>
          <w:iCs/>
        </w:rPr>
        <w:t>cognizability</w:t>
      </w:r>
      <w:r w:rsidRPr="00CA50D4">
        <w:t xml:space="preserve"> is introduced in my expert witness report in </w:t>
      </w:r>
      <w:r w:rsidRPr="00CA50D4">
        <w:rPr>
          <w:i/>
          <w:iCs/>
        </w:rPr>
        <w:t>Pope v. Blue</w:t>
      </w:r>
      <w:r w:rsidRPr="00CA50D4">
        <w:t>, 809 F. Supp. (WDNC. 1992).</w:t>
      </w:r>
      <w:r w:rsidR="00486CB6" w:rsidRPr="00CA50D4">
        <w:rPr>
          <w:vertAlign w:val="superscript"/>
        </w:rPr>
        <w:endnoteReference w:id="1"/>
      </w:r>
      <w:r w:rsidR="00486CB6" w:rsidRPr="00CA50D4">
        <w:t xml:space="preserve"> </w:t>
      </w:r>
      <w:r w:rsidRPr="00CA50D4">
        <w:rPr>
          <w:lang w:bidi="th-TH"/>
        </w:rPr>
        <w:t xml:space="preserve">Grofman (1993: 1261) </w:t>
      </w:r>
      <w:proofErr w:type="gramStart"/>
      <w:r w:rsidRPr="00CA50D4">
        <w:rPr>
          <w:lang w:bidi="th-TH"/>
        </w:rPr>
        <w:t xml:space="preserve">defines  </w:t>
      </w:r>
      <w:r w:rsidRPr="00CA50D4">
        <w:rPr>
          <w:i/>
          <w:iCs/>
        </w:rPr>
        <w:t>cognizability</w:t>
      </w:r>
      <w:proofErr w:type="gramEnd"/>
      <w:r w:rsidRPr="00CA50D4">
        <w:t xml:space="preserve"> as “the ability to characterize the district boundaries in a manner that can be readily communicated to ordinary citizens of the district in commonsense terms based on geographic referents</w:t>
      </w:r>
      <w:r w:rsidR="00EC5BB6" w:rsidRPr="00CA50D4">
        <w:t>.”</w:t>
      </w:r>
      <w:r w:rsidRPr="00CA50D4">
        <w:t xml:space="preserve"> </w:t>
      </w:r>
      <w:r w:rsidR="00FF4E9E" w:rsidRPr="00CA50D4">
        <w:t xml:space="preserve">However, my attempt to introduce this term to the redistricting literature was a </w:t>
      </w:r>
      <w:r w:rsidR="00B77FED" w:rsidRPr="00CA50D4">
        <w:t xml:space="preserve">complete </w:t>
      </w:r>
      <w:r w:rsidR="00FF4E9E" w:rsidRPr="00CA50D4">
        <w:t>failure until</w:t>
      </w:r>
      <w:r w:rsidRPr="00CA50D4">
        <w:t xml:space="preserve"> </w:t>
      </w:r>
      <w:r w:rsidRPr="00CA50D4">
        <w:rPr>
          <w:lang w:bidi="th-TH"/>
        </w:rPr>
        <w:t>first Bowen</w:t>
      </w:r>
      <w:r w:rsidR="00EC5BB6" w:rsidRPr="00CA50D4">
        <w:rPr>
          <w:lang w:bidi="th-TH"/>
        </w:rPr>
        <w:t xml:space="preserve"> (</w:t>
      </w:r>
      <w:r w:rsidRPr="00CA50D4">
        <w:rPr>
          <w:lang w:bidi="th-TH"/>
        </w:rPr>
        <w:t>2014</w:t>
      </w:r>
      <w:r w:rsidR="00EC5BB6" w:rsidRPr="00CA50D4">
        <w:rPr>
          <w:lang w:bidi="th-TH"/>
        </w:rPr>
        <w:t>)</w:t>
      </w:r>
      <w:r w:rsidR="00D80ADF">
        <w:rPr>
          <w:lang w:bidi="th-TH"/>
        </w:rPr>
        <w:t>,</w:t>
      </w:r>
      <w:r w:rsidR="00EC5BB6" w:rsidRPr="00CA50D4">
        <w:rPr>
          <w:lang w:bidi="th-TH"/>
        </w:rPr>
        <w:t xml:space="preserve"> and then</w:t>
      </w:r>
      <w:r w:rsidR="00EC5BB6" w:rsidRPr="00CA50D4">
        <w:rPr>
          <w:rStyle w:val="FootnoteReference"/>
          <w:lang w:bidi="th-TH"/>
        </w:rPr>
        <w:t xml:space="preserve"> </w:t>
      </w:r>
      <w:r w:rsidRPr="00CA50D4">
        <w:rPr>
          <w:lang w:bidi="th-TH"/>
        </w:rPr>
        <w:t xml:space="preserve"> </w:t>
      </w:r>
      <w:r w:rsidR="00FF4E9E" w:rsidRPr="00CA50D4">
        <w:t>Phillips and Montello (2017: 32)</w:t>
      </w:r>
      <w:r w:rsidR="00EC5BB6" w:rsidRPr="00CA50D4">
        <w:t>, and most recently Wang et al. (2022)</w:t>
      </w:r>
      <w:r w:rsidR="00FF4E9E" w:rsidRPr="00CA50D4">
        <w:t xml:space="preserve"> </w:t>
      </w:r>
      <w:r w:rsidR="00B77FED" w:rsidRPr="00CA50D4">
        <w:t>referenced</w:t>
      </w:r>
      <w:r w:rsidR="00FF4E9E" w:rsidRPr="00CA50D4">
        <w:t xml:space="preserve"> the </w:t>
      </w:r>
      <w:r w:rsidR="00486CB6">
        <w:t>idea</w:t>
      </w:r>
      <w:r w:rsidR="00B77FED" w:rsidRPr="00CA50D4">
        <w:t xml:space="preserve"> (and my previous work) </w:t>
      </w:r>
      <w:r w:rsidR="00FF4E9E" w:rsidRPr="00CA50D4">
        <w:t>in the context of having citizens identify the geography that they saw as part of their community</w:t>
      </w:r>
      <w:r w:rsidR="00D80ADF">
        <w:t>,</w:t>
      </w:r>
      <w:r w:rsidR="00FF4E9E" w:rsidRPr="00CA50D4">
        <w:t xml:space="preserve"> using </w:t>
      </w:r>
      <w:r w:rsidR="005001F7" w:rsidRPr="00CA50D4">
        <w:t xml:space="preserve">overlap of </w:t>
      </w:r>
      <w:r w:rsidR="00FF4E9E" w:rsidRPr="00CA50D4">
        <w:t>such identifications to define communities of interest.</w:t>
      </w:r>
      <w:r w:rsidR="00486CB6" w:rsidRPr="00CA50D4">
        <w:rPr>
          <w:rStyle w:val="EndnoteReference"/>
        </w:rPr>
        <w:endnoteReference w:id="2"/>
      </w:r>
      <w:r w:rsidR="00486CB6" w:rsidRPr="00CA50D4">
        <w:t xml:space="preserve"> </w:t>
      </w:r>
      <w:r w:rsidR="00FF4E9E" w:rsidRPr="00CA50D4">
        <w:t xml:space="preserve"> </w:t>
      </w:r>
      <w:r w:rsidR="00EC5BB6" w:rsidRPr="00CA50D4">
        <w:t xml:space="preserve"> </w:t>
      </w:r>
      <w:r w:rsidR="00481DDC" w:rsidRPr="00CA50D4">
        <w:t xml:space="preserve">  </w:t>
      </w:r>
    </w:p>
    <w:p w14:paraId="4E04DE96" w14:textId="34D1CF64" w:rsidR="00D80ADF" w:rsidRDefault="00D80ADF" w:rsidP="00D80ADF">
      <w:pPr>
        <w:ind w:firstLine="720"/>
      </w:pPr>
      <w:r>
        <w:t xml:space="preserve">The </w:t>
      </w:r>
      <w:r w:rsidR="00486CB6" w:rsidRPr="00CA50D4">
        <w:t xml:space="preserve">concept of cognizability can also be relevant in providing a justification in representational terms for </w:t>
      </w:r>
      <w:r>
        <w:t xml:space="preserve">a different </w:t>
      </w:r>
      <w:r w:rsidR="00486CB6" w:rsidRPr="00CA50D4">
        <w:t>standard redistricting criteria</w:t>
      </w:r>
      <w:r>
        <w:t>, that</w:t>
      </w:r>
      <w:r w:rsidR="00486CB6" w:rsidRPr="00CA50D4">
        <w:t xml:space="preserve"> of non-fragmentation of existing political subunit boundaries</w:t>
      </w:r>
      <w:r>
        <w:t>,</w:t>
      </w:r>
      <w:r w:rsidR="00486CB6" w:rsidRPr="00CA50D4">
        <w:t xml:space="preserve"> </w:t>
      </w:r>
      <w:proofErr w:type="gramStart"/>
      <w:r>
        <w:t>in  a</w:t>
      </w:r>
      <w:proofErr w:type="gramEnd"/>
      <w:r>
        <w:t xml:space="preserve"> way </w:t>
      </w:r>
      <w:r w:rsidR="00486CB6" w:rsidRPr="00CA50D4">
        <w:t>that is different from</w:t>
      </w:r>
      <w:r>
        <w:t xml:space="preserve"> simply</w:t>
      </w:r>
      <w:r w:rsidR="00486CB6" w:rsidRPr="00CA50D4">
        <w:t xml:space="preserve"> the claim that political subunits are themselves communities of interest. Arguably, cognizability of district boundaries facilitates identification of</w:t>
      </w:r>
      <w:r w:rsidR="00486CB6">
        <w:t xml:space="preserve"> </w:t>
      </w:r>
      <w:r w:rsidR="00486CB6" w:rsidRPr="00CA50D4">
        <w:t xml:space="preserve">and with the district, </w:t>
      </w:r>
      <w:proofErr w:type="gramStart"/>
      <w:r w:rsidR="00486CB6" w:rsidRPr="00CA50D4">
        <w:t>which  allows</w:t>
      </w:r>
      <w:proofErr w:type="gramEnd"/>
      <w:r w:rsidR="00486CB6" w:rsidRPr="00CA50D4">
        <w:t xml:space="preserve"> for better representation</w:t>
      </w:r>
      <w:r w:rsidR="00486CB6">
        <w:t xml:space="preserve"> </w:t>
      </w:r>
      <w:r w:rsidR="00486CB6" w:rsidRPr="00CA50D4">
        <w:t>and perhaps may lead to greater civic participation.</w:t>
      </w:r>
      <w:r w:rsidR="00486CB6" w:rsidRPr="00486CB6">
        <w:rPr>
          <w:rStyle w:val="EndnoteReference"/>
        </w:rPr>
        <w:t xml:space="preserve"> </w:t>
      </w:r>
      <w:r w:rsidR="00486CB6">
        <w:rPr>
          <w:rStyle w:val="EndnoteReference"/>
        </w:rPr>
        <w:endnoteReference w:id="3"/>
      </w:r>
      <w:r w:rsidR="00486CB6" w:rsidRPr="00CA50D4">
        <w:t xml:space="preserve"> </w:t>
      </w:r>
    </w:p>
    <w:p w14:paraId="0FC69E58" w14:textId="5E7CC980" w:rsidR="00B77FED" w:rsidRPr="00CA50D4" w:rsidRDefault="00D80ADF" w:rsidP="00D80ADF">
      <w:pPr>
        <w:ind w:firstLine="720"/>
      </w:pPr>
      <w:r w:rsidRPr="00D80ADF">
        <w:t xml:space="preserve">A clear operational test for </w:t>
      </w:r>
      <w:r w:rsidRPr="00D80ADF">
        <w:rPr>
          <w:i/>
          <w:iCs/>
        </w:rPr>
        <w:t xml:space="preserve">cognizability </w:t>
      </w:r>
      <w:r w:rsidRPr="00D80ADF">
        <w:t>has yet to be developed.</w:t>
      </w:r>
      <w:r w:rsidRPr="00D80ADF">
        <w:rPr>
          <w:rStyle w:val="EndnoteReference"/>
        </w:rPr>
        <w:endnoteReference w:id="4"/>
      </w:r>
      <w:r w:rsidRPr="00D80ADF">
        <w:t xml:space="preserve">  </w:t>
      </w:r>
      <w:r w:rsidRPr="00CA50D4">
        <w:t xml:space="preserve">In the discussion of cognizability in Phillips and Montello (2017) and Wang et al (2022 forthcoming) cognizability is only used in the context of identifying communities of interest. </w:t>
      </w:r>
      <w:r w:rsidR="00486CB6" w:rsidRPr="00D80ADF">
        <w:t>But</w:t>
      </w:r>
      <w:r>
        <w:t xml:space="preserve"> </w:t>
      </w:r>
      <w:r w:rsidR="005001F7" w:rsidRPr="00D80ADF">
        <w:t xml:space="preserve"> the survey methodologies introduced</w:t>
      </w:r>
      <w:r w:rsidR="005001F7" w:rsidRPr="00CA50D4">
        <w:t xml:space="preserve"> in these articles</w:t>
      </w:r>
      <w:r>
        <w:t xml:space="preserve"> </w:t>
      </w:r>
      <w:r w:rsidR="005001F7" w:rsidRPr="00CA50D4">
        <w:t>to identify  citizen’s “mental maps” of the geographic boundaries of their community of interest</w:t>
      </w:r>
      <w:r w:rsidR="003638B6" w:rsidRPr="00CA50D4">
        <w:t xml:space="preserve">, and thus the  </w:t>
      </w:r>
      <w:r w:rsidR="003638B6" w:rsidRPr="00CA50D4">
        <w:rPr>
          <w:i/>
          <w:iCs/>
        </w:rPr>
        <w:t>mappability</w:t>
      </w:r>
      <w:r w:rsidR="00486CB6" w:rsidRPr="00CA50D4">
        <w:rPr>
          <w:rStyle w:val="EndnoteReference"/>
          <w:i/>
          <w:iCs/>
        </w:rPr>
        <w:endnoteReference w:id="5"/>
      </w:r>
      <w:r w:rsidR="00486CB6" w:rsidRPr="00CA50D4">
        <w:t xml:space="preserve"> </w:t>
      </w:r>
      <w:r w:rsidR="003638B6" w:rsidRPr="00CA50D4">
        <w:t>of COIs for redistricting purposes</w:t>
      </w:r>
      <w:r>
        <w:t xml:space="preserve"> could, I think, easily provide the basis for operationalizing the concept of cognizability.</w:t>
      </w:r>
      <w:r w:rsidR="006F0C56">
        <w:rPr>
          <w:rStyle w:val="EndnoteReference"/>
        </w:rPr>
        <w:endnoteReference w:id="6"/>
      </w:r>
      <w:r w:rsidR="006F0C56">
        <w:t xml:space="preserve"> </w:t>
      </w:r>
      <w:r>
        <w:t xml:space="preserve"> Such methodologies might </w:t>
      </w:r>
      <w:r w:rsidR="005001F7" w:rsidRPr="00CA50D4">
        <w:t xml:space="preserve">become grist for expert witness testimony in defending/attacking plans as violating the </w:t>
      </w:r>
      <w:r w:rsidR="005001F7" w:rsidRPr="00CA50D4">
        <w:rPr>
          <w:i/>
          <w:iCs/>
        </w:rPr>
        <w:t>Shaw v. Reno</w:t>
      </w:r>
      <w:r w:rsidR="005001F7" w:rsidRPr="00CA50D4">
        <w:t xml:space="preserve"> standard of race not being a preponderant motive by asserting that the plans do/do not implement voter perceptions of the community/communities of which they are a part. </w:t>
      </w:r>
    </w:p>
    <w:p w14:paraId="522FE375" w14:textId="5C08CEA6" w:rsidR="00647E12" w:rsidRDefault="00647E12">
      <w:pPr>
        <w:rPr>
          <w:rFonts w:ascii="Arial" w:hAnsi="Arial" w:cs="Arial"/>
        </w:rPr>
      </w:pPr>
    </w:p>
    <w:p w14:paraId="39527A73" w14:textId="77777777" w:rsidR="00647E12" w:rsidRDefault="00647E12">
      <w:pPr>
        <w:rPr>
          <w:rFonts w:ascii="Arial" w:hAnsi="Arial" w:cs="Arial"/>
        </w:rPr>
      </w:pPr>
    </w:p>
    <w:p w14:paraId="16635B59" w14:textId="43A37CEA" w:rsidR="0028778A" w:rsidRDefault="0028778A">
      <w:pPr>
        <w:rPr>
          <w:rFonts w:ascii="Arial" w:hAnsi="Arial" w:cs="Arial"/>
        </w:rPr>
      </w:pPr>
      <w:r>
        <w:rPr>
          <w:rFonts w:ascii="Arial" w:hAnsi="Arial" w:cs="Arial"/>
        </w:rPr>
        <w:br w:type="page"/>
      </w:r>
      <w:r w:rsidR="00481DDC">
        <w:rPr>
          <w:rFonts w:ascii="Arial" w:hAnsi="Arial" w:cs="Arial"/>
        </w:rPr>
        <w:lastRenderedPageBreak/>
        <w:t>REFERENCES</w:t>
      </w:r>
    </w:p>
    <w:p w14:paraId="71FBE35D" w14:textId="674E5620" w:rsidR="00481DDC" w:rsidRDefault="00481DDC">
      <w:pPr>
        <w:rPr>
          <w:rFonts w:ascii="Arial" w:hAnsi="Arial" w:cs="Arial"/>
        </w:rPr>
      </w:pPr>
    </w:p>
    <w:p w14:paraId="121C34BB" w14:textId="6FCF76B3" w:rsidR="00A5704F" w:rsidRDefault="00A5704F" w:rsidP="00A5704F">
      <w:pPr>
        <w:autoSpaceDE w:val="0"/>
        <w:autoSpaceDN w:val="0"/>
        <w:adjustRightInd w:val="0"/>
        <w:rPr>
          <w:rFonts w:eastAsia="GillSansStd"/>
        </w:rPr>
      </w:pPr>
      <w:r w:rsidRPr="00A5704F">
        <w:t xml:space="preserve">Bowen, Daniel C.  </w:t>
      </w:r>
      <w:proofErr w:type="gramStart"/>
      <w:r w:rsidRPr="00A5704F">
        <w:t>2014.  “</w:t>
      </w:r>
      <w:proofErr w:type="gramEnd"/>
      <w:r w:rsidRPr="00A5704F">
        <w:t xml:space="preserve">Boundaries, Redistricting Criteria, and Representation in the U.S. House of Representatives.”  </w:t>
      </w:r>
      <w:r w:rsidRPr="00A5704F">
        <w:rPr>
          <w:rFonts w:eastAsia="GillSansStd"/>
          <w:i/>
          <w:iCs/>
        </w:rPr>
        <w:t xml:space="preserve">American Politics </w:t>
      </w:r>
      <w:proofErr w:type="gramStart"/>
      <w:r w:rsidRPr="00A5704F">
        <w:rPr>
          <w:rFonts w:eastAsia="GillSansStd"/>
          <w:i/>
          <w:iCs/>
        </w:rPr>
        <w:t>Research</w:t>
      </w:r>
      <w:r w:rsidRPr="00A5704F">
        <w:rPr>
          <w:rFonts w:eastAsia="GillSansStd"/>
        </w:rPr>
        <w:t xml:space="preserve">  42</w:t>
      </w:r>
      <w:proofErr w:type="gramEnd"/>
      <w:r w:rsidRPr="00A5704F">
        <w:rPr>
          <w:rFonts w:eastAsia="GillSansStd"/>
        </w:rPr>
        <w:t>(5)</w:t>
      </w:r>
      <w:r>
        <w:rPr>
          <w:rFonts w:eastAsia="GillSansStd"/>
        </w:rPr>
        <w:t>:</w:t>
      </w:r>
      <w:r w:rsidRPr="00A5704F">
        <w:rPr>
          <w:rFonts w:eastAsia="GillSansStd"/>
        </w:rPr>
        <w:t xml:space="preserve"> 856–895.</w:t>
      </w:r>
    </w:p>
    <w:p w14:paraId="397FD92B" w14:textId="77777777" w:rsidR="00A5704F" w:rsidRPr="00A5704F" w:rsidRDefault="00A5704F" w:rsidP="00A5704F">
      <w:pPr>
        <w:autoSpaceDE w:val="0"/>
        <w:autoSpaceDN w:val="0"/>
        <w:adjustRightInd w:val="0"/>
      </w:pPr>
    </w:p>
    <w:p w14:paraId="72449164" w14:textId="03453C05" w:rsidR="00EE3BF1" w:rsidRPr="00A5704F" w:rsidRDefault="00A5704F" w:rsidP="00A5704F">
      <w:pPr>
        <w:autoSpaceDE w:val="0"/>
        <w:autoSpaceDN w:val="0"/>
        <w:adjustRightInd w:val="0"/>
        <w:rPr>
          <w:rFonts w:ascii="GillSansStd" w:eastAsia="GillSansStd" w:cs="GillSansStd"/>
          <w:sz w:val="14"/>
          <w:szCs w:val="14"/>
        </w:rPr>
      </w:pPr>
      <w:r>
        <w:rPr>
          <w:rFonts w:ascii="GillSansStd" w:eastAsia="GillSansStd" w:cs="GillSansStd"/>
          <w:sz w:val="14"/>
          <w:szCs w:val="14"/>
        </w:rPr>
        <w:t xml:space="preserve"> </w:t>
      </w:r>
      <w:r w:rsidR="00481DDC" w:rsidRPr="00EE3BF1">
        <w:t>Grofman,</w:t>
      </w:r>
      <w:r w:rsidR="00EE3BF1">
        <w:t xml:space="preserve"> </w:t>
      </w:r>
      <w:r w:rsidR="00481DDC" w:rsidRPr="00EE3BF1">
        <w:t xml:space="preserve">Bernard. 1993. </w:t>
      </w:r>
      <w:r w:rsidR="00EE3BF1">
        <w:t>“</w:t>
      </w:r>
      <w:r w:rsidR="00481DDC" w:rsidRPr="00EE3BF1">
        <w:rPr>
          <w:iCs/>
        </w:rPr>
        <w:t>Would Vince Lombardi Have Been Right If He Had Said: “When it Comes to Redistricting, Race Isn't Everything, It's the Only Thing</w:t>
      </w:r>
      <w:r w:rsidR="00EE3BF1" w:rsidRPr="00EE3BF1">
        <w:rPr>
          <w:iCs/>
        </w:rPr>
        <w:t>?</w:t>
      </w:r>
      <w:r w:rsidR="00481DDC" w:rsidRPr="00EE3BF1">
        <w:rPr>
          <w:iCs/>
        </w:rPr>
        <w:t>”</w:t>
      </w:r>
      <w:r w:rsidR="00EE3BF1">
        <w:rPr>
          <w:iCs/>
        </w:rPr>
        <w:t xml:space="preserve"> </w:t>
      </w:r>
      <w:r w:rsidR="00481DDC" w:rsidRPr="00EE3BF1">
        <w:t xml:space="preserve"> </w:t>
      </w:r>
      <w:r w:rsidR="00481DDC" w:rsidRPr="00EE3BF1">
        <w:rPr>
          <w:i/>
          <w:iCs/>
        </w:rPr>
        <w:t>Cardoz</w:t>
      </w:r>
      <w:r w:rsidR="00EE3BF1" w:rsidRPr="00EE3BF1">
        <w:rPr>
          <w:i/>
          <w:iCs/>
        </w:rPr>
        <w:t>o Law Review</w:t>
      </w:r>
      <w:r w:rsidR="00EE3BF1" w:rsidRPr="00EE3BF1">
        <w:t xml:space="preserve"> 14.</w:t>
      </w:r>
    </w:p>
    <w:p w14:paraId="6C7ED4CA" w14:textId="58B64444" w:rsidR="003638B6" w:rsidRDefault="003638B6" w:rsidP="00EE3BF1"/>
    <w:p w14:paraId="3145581C" w14:textId="77777777" w:rsidR="00FC34C9" w:rsidRPr="00FC34C9" w:rsidRDefault="00FC34C9" w:rsidP="00FC34C9">
      <w:pPr>
        <w:shd w:val="clear" w:color="auto" w:fill="FFFFFF"/>
        <w:rPr>
          <w:bCs/>
          <w:lang w:bidi="th-TH"/>
        </w:rPr>
      </w:pPr>
      <w:r w:rsidRPr="00FC34C9">
        <w:rPr>
          <w:bCs/>
        </w:rPr>
        <w:t xml:space="preserve">Grofman, Bernard and Jonathan Cervas. 2021.  </w:t>
      </w:r>
      <w:r w:rsidRPr="00FC34C9">
        <w:rPr>
          <w:bCs/>
          <w:lang w:bidi="th-TH"/>
        </w:rPr>
        <w:t>ZIP Codes as Geographic Bases of</w:t>
      </w:r>
    </w:p>
    <w:p w14:paraId="4C51FC11" w14:textId="7AE1971E" w:rsidR="00FC34C9" w:rsidRPr="00FC34C9" w:rsidRDefault="00FC34C9" w:rsidP="00FC34C9">
      <w:pPr>
        <w:shd w:val="clear" w:color="auto" w:fill="FFFFFF"/>
        <w:rPr>
          <w:rStyle w:val="value"/>
          <w:bCs/>
        </w:rPr>
      </w:pPr>
      <w:r w:rsidRPr="00FC34C9">
        <w:rPr>
          <w:bCs/>
          <w:lang w:bidi="th-TH"/>
        </w:rPr>
        <w:t xml:space="preserve">Representation. </w:t>
      </w:r>
      <w:r w:rsidRPr="00FC34C9">
        <w:rPr>
          <w:bCs/>
          <w:i/>
          <w:iCs/>
          <w:lang w:bidi="th-TH"/>
        </w:rPr>
        <w:t xml:space="preserve">Election Law Journal 20(2): </w:t>
      </w:r>
      <w:r w:rsidRPr="00FC34C9">
        <w:rPr>
          <w:rStyle w:val="value"/>
          <w:bCs/>
        </w:rPr>
        <w:t>215-223.</w:t>
      </w:r>
    </w:p>
    <w:p w14:paraId="7BC9722A" w14:textId="77777777" w:rsidR="00FC34C9" w:rsidRPr="00BD3C0B" w:rsidRDefault="00FC34C9" w:rsidP="00FC34C9">
      <w:pPr>
        <w:shd w:val="clear" w:color="auto" w:fill="FFFFFF"/>
        <w:rPr>
          <w:color w:val="00B0F0"/>
        </w:rPr>
      </w:pPr>
    </w:p>
    <w:p w14:paraId="6365BA58" w14:textId="097BBE37" w:rsidR="003638B6" w:rsidRPr="003638B6" w:rsidRDefault="003638B6" w:rsidP="00EE3BF1">
      <w:pPr>
        <w:rPr>
          <w:sz w:val="20"/>
          <w:szCs w:val="20"/>
        </w:rPr>
      </w:pPr>
      <w:r w:rsidRPr="003638B6">
        <w:t xml:space="preserve">Miller, </w:t>
      </w:r>
      <w:r w:rsidR="00047FAC" w:rsidRPr="003638B6">
        <w:t>Peter,</w:t>
      </w:r>
      <w:r w:rsidRPr="003638B6">
        <w:t xml:space="preserve"> and Bernard Grofman</w:t>
      </w:r>
      <w:r w:rsidR="00047FAC" w:rsidRPr="003638B6">
        <w:t xml:space="preserve">. </w:t>
      </w:r>
      <w:r w:rsidRPr="003638B6">
        <w:t>2018.  Public Hearings and Congressional Redistricting: Evidence from the Western United States 2011-2012</w:t>
      </w:r>
      <w:r w:rsidR="00047FAC" w:rsidRPr="003638B6">
        <w:t xml:space="preserve">. </w:t>
      </w:r>
      <w:r w:rsidRPr="003638B6">
        <w:rPr>
          <w:i/>
          <w:iCs/>
        </w:rPr>
        <w:t>Election Law Journal</w:t>
      </w:r>
      <w:r w:rsidRPr="003638B6">
        <w:t xml:space="preserve">. </w:t>
      </w:r>
      <w:r w:rsidRPr="003638B6">
        <w:rPr>
          <w:i/>
          <w:iCs/>
        </w:rPr>
        <w:t>17(1): 21-38</w:t>
      </w:r>
      <w:r w:rsidR="00047FAC" w:rsidRPr="003638B6">
        <w:t>.</w:t>
      </w:r>
      <w:r w:rsidR="00047FAC" w:rsidRPr="003638B6">
        <w:rPr>
          <w:sz w:val="20"/>
          <w:szCs w:val="20"/>
        </w:rPr>
        <w:t xml:space="preserve"> </w:t>
      </w:r>
    </w:p>
    <w:p w14:paraId="736E89D8" w14:textId="6305D837" w:rsidR="00EE3BF1" w:rsidRDefault="00EE3BF1" w:rsidP="00EE3BF1">
      <w:pPr>
        <w:rPr>
          <w:smallCaps/>
          <w:sz w:val="20"/>
          <w:szCs w:val="20"/>
        </w:rPr>
      </w:pPr>
      <w:r>
        <w:rPr>
          <w:sz w:val="20"/>
          <w:szCs w:val="20"/>
        </w:rPr>
        <w:t xml:space="preserve"> </w:t>
      </w:r>
    </w:p>
    <w:p w14:paraId="7425D3CA" w14:textId="369C8C70" w:rsidR="00385723" w:rsidRPr="00385723" w:rsidRDefault="00385723" w:rsidP="00EE3BF1">
      <w:r w:rsidRPr="00385723">
        <w:t>Phillip</w:t>
      </w:r>
      <w:r>
        <w:t>s</w:t>
      </w:r>
      <w:r w:rsidRPr="00385723">
        <w:t xml:space="preserve">, </w:t>
      </w:r>
      <w:r>
        <w:t xml:space="preserve">D. </w:t>
      </w:r>
      <w:r w:rsidR="00047FAC">
        <w:t>W.,</w:t>
      </w:r>
      <w:r>
        <w:t xml:space="preserve"> </w:t>
      </w:r>
      <w:r w:rsidRPr="00385723">
        <w:t>and   Daniel R. Montello. 2017. “</w:t>
      </w:r>
      <w:r w:rsidRPr="00385723">
        <w:rPr>
          <w:iCs/>
        </w:rPr>
        <w:t xml:space="preserve">Defining the </w:t>
      </w:r>
      <w:r>
        <w:rPr>
          <w:iCs/>
        </w:rPr>
        <w:t>C</w:t>
      </w:r>
      <w:r w:rsidRPr="00385723">
        <w:rPr>
          <w:iCs/>
        </w:rPr>
        <w:t xml:space="preserve">ommunity of </w:t>
      </w:r>
      <w:r>
        <w:rPr>
          <w:iCs/>
        </w:rPr>
        <w:t>I</w:t>
      </w:r>
      <w:r w:rsidRPr="00385723">
        <w:rPr>
          <w:iCs/>
        </w:rPr>
        <w:t xml:space="preserve">nterest as </w:t>
      </w:r>
      <w:r>
        <w:rPr>
          <w:iCs/>
        </w:rPr>
        <w:t>T</w:t>
      </w:r>
      <w:r w:rsidRPr="00385723">
        <w:rPr>
          <w:iCs/>
        </w:rPr>
        <w:t xml:space="preserve">hematic and </w:t>
      </w:r>
      <w:r>
        <w:rPr>
          <w:iCs/>
        </w:rPr>
        <w:t>C</w:t>
      </w:r>
      <w:r w:rsidRPr="00385723">
        <w:rPr>
          <w:iCs/>
        </w:rPr>
        <w:t xml:space="preserve">ognitive </w:t>
      </w:r>
      <w:r>
        <w:rPr>
          <w:iCs/>
        </w:rPr>
        <w:t>R</w:t>
      </w:r>
      <w:r w:rsidRPr="00385723">
        <w:rPr>
          <w:iCs/>
        </w:rPr>
        <w:t>egions</w:t>
      </w:r>
      <w:r>
        <w:rPr>
          <w:iCs/>
        </w:rPr>
        <w:t>.</w:t>
      </w:r>
      <w:r w:rsidRPr="00385723">
        <w:rPr>
          <w:iCs/>
        </w:rPr>
        <w:t xml:space="preserve">”  </w:t>
      </w:r>
      <w:r w:rsidRPr="00385723">
        <w:t xml:space="preserve">61 </w:t>
      </w:r>
      <w:r w:rsidRPr="00385723">
        <w:rPr>
          <w:i/>
          <w:iCs/>
        </w:rPr>
        <w:t xml:space="preserve">Political </w:t>
      </w:r>
      <w:proofErr w:type="gramStart"/>
      <w:r w:rsidRPr="00385723">
        <w:rPr>
          <w:i/>
          <w:iCs/>
        </w:rPr>
        <w:t>Geography</w:t>
      </w:r>
      <w:r w:rsidRPr="00385723">
        <w:t xml:space="preserve">  61</w:t>
      </w:r>
      <w:proofErr w:type="gramEnd"/>
      <w:r w:rsidR="00047FAC" w:rsidRPr="00385723">
        <w:t xml:space="preserve">. </w:t>
      </w:r>
    </w:p>
    <w:p w14:paraId="6EA7A9DC" w14:textId="77777777" w:rsidR="00385723" w:rsidRDefault="00385723" w:rsidP="00EE3BF1">
      <w:pPr>
        <w:rPr>
          <w:sz w:val="20"/>
          <w:szCs w:val="20"/>
        </w:rPr>
      </w:pPr>
    </w:p>
    <w:p w14:paraId="1A602791" w14:textId="1B0D7F0B" w:rsidR="00FC34C9" w:rsidRDefault="00FC34C9" w:rsidP="00FC34C9">
      <w:pPr>
        <w:pStyle w:val="Heading3"/>
        <w:shd w:val="clear" w:color="auto" w:fill="FFFFFF"/>
        <w:spacing w:before="0" w:after="30" w:line="285" w:lineRule="atLeast"/>
        <w:ind w:right="1500"/>
        <w:rPr>
          <w:rFonts w:ascii="Helvetica" w:hAnsi="Helvetica"/>
          <w:color w:val="000000"/>
          <w:spacing w:val="-5"/>
          <w:sz w:val="21"/>
          <w:szCs w:val="21"/>
          <w:shd w:val="clear" w:color="auto" w:fill="FFFFFF"/>
        </w:rPr>
      </w:pPr>
      <w:r w:rsidRPr="00FC34C9">
        <w:rPr>
          <w:rFonts w:ascii="Times New Roman" w:hAnsi="Times New Roman" w:cs="Times New Roman"/>
          <w:color w:val="auto"/>
        </w:rPr>
        <w:t>Pildes</w:t>
      </w:r>
      <w:r w:rsidR="00A5704F">
        <w:rPr>
          <w:rFonts w:ascii="Times New Roman" w:hAnsi="Times New Roman" w:cs="Times New Roman"/>
          <w:color w:val="auto"/>
        </w:rPr>
        <w:t>,</w:t>
      </w:r>
      <w:r w:rsidRPr="00FC34C9">
        <w:rPr>
          <w:rFonts w:ascii="Times New Roman" w:hAnsi="Times New Roman" w:cs="Times New Roman"/>
          <w:color w:val="auto"/>
        </w:rPr>
        <w:t xml:space="preserve"> </w:t>
      </w:r>
      <w:proofErr w:type="gramStart"/>
      <w:r w:rsidRPr="00FC34C9">
        <w:rPr>
          <w:rFonts w:ascii="Times New Roman" w:hAnsi="Times New Roman" w:cs="Times New Roman"/>
          <w:color w:val="auto"/>
        </w:rPr>
        <w:t>R</w:t>
      </w:r>
      <w:r w:rsidR="00A5704F">
        <w:rPr>
          <w:rFonts w:ascii="Times New Roman" w:hAnsi="Times New Roman" w:cs="Times New Roman"/>
          <w:color w:val="auto"/>
        </w:rPr>
        <w:t xml:space="preserve">ichard  </w:t>
      </w:r>
      <w:r w:rsidRPr="00FC34C9">
        <w:rPr>
          <w:rFonts w:ascii="Times New Roman" w:hAnsi="Times New Roman" w:cs="Times New Roman"/>
          <w:color w:val="auto"/>
        </w:rPr>
        <w:t>H</w:t>
      </w:r>
      <w:r w:rsidR="00A5704F">
        <w:rPr>
          <w:rFonts w:ascii="Times New Roman" w:hAnsi="Times New Roman" w:cs="Times New Roman"/>
          <w:color w:val="auto"/>
        </w:rPr>
        <w:t>.</w:t>
      </w:r>
      <w:proofErr w:type="gramEnd"/>
      <w:r w:rsidRPr="00FC34C9">
        <w:rPr>
          <w:rFonts w:ascii="Times New Roman" w:hAnsi="Times New Roman" w:cs="Times New Roman"/>
          <w:color w:val="auto"/>
        </w:rPr>
        <w:t xml:space="preserve"> and  </w:t>
      </w:r>
      <w:r w:rsidR="00047FAC" w:rsidRPr="00FC34C9">
        <w:rPr>
          <w:rFonts w:ascii="Times New Roman" w:hAnsi="Times New Roman" w:cs="Times New Roman"/>
          <w:color w:val="auto"/>
        </w:rPr>
        <w:t>R</w:t>
      </w:r>
      <w:r w:rsidR="00A5704F">
        <w:rPr>
          <w:rFonts w:ascii="Times New Roman" w:hAnsi="Times New Roman" w:cs="Times New Roman"/>
          <w:color w:val="auto"/>
        </w:rPr>
        <w:t>ichard</w:t>
      </w:r>
      <w:r w:rsidR="00047FAC" w:rsidRPr="00FC34C9">
        <w:rPr>
          <w:rFonts w:ascii="Times New Roman" w:hAnsi="Times New Roman" w:cs="Times New Roman"/>
          <w:color w:val="auto"/>
        </w:rPr>
        <w:t>.</w:t>
      </w:r>
      <w:r w:rsidR="00A5704F">
        <w:rPr>
          <w:rFonts w:ascii="Times New Roman" w:hAnsi="Times New Roman" w:cs="Times New Roman"/>
          <w:color w:val="auto"/>
        </w:rPr>
        <w:t xml:space="preserve"> </w:t>
      </w:r>
      <w:r w:rsidR="00047FAC" w:rsidRPr="00FC34C9">
        <w:rPr>
          <w:rFonts w:ascii="Times New Roman" w:hAnsi="Times New Roman" w:cs="Times New Roman"/>
          <w:color w:val="auto"/>
        </w:rPr>
        <w:t xml:space="preserve">G. </w:t>
      </w:r>
      <w:r w:rsidRPr="00FC34C9">
        <w:rPr>
          <w:rFonts w:ascii="Times New Roman" w:hAnsi="Times New Roman" w:cs="Times New Roman"/>
          <w:color w:val="auto"/>
        </w:rPr>
        <w:t>Niemi. 1993.</w:t>
      </w:r>
      <w:r w:rsidRPr="00FC34C9">
        <w:rPr>
          <w:rFonts w:ascii="Arial" w:hAnsi="Arial" w:cs="Arial"/>
          <w:b/>
          <w:bCs/>
          <w:color w:val="auto"/>
          <w:sz w:val="20"/>
          <w:szCs w:val="20"/>
        </w:rPr>
        <w:t xml:space="preserve"> </w:t>
      </w:r>
      <w:r w:rsidRPr="00FC34C9">
        <w:rPr>
          <w:rFonts w:ascii="Times New Roman" w:hAnsi="Times New Roman" w:cs="Times New Roman"/>
          <w:color w:val="222222"/>
        </w:rPr>
        <w:t>“</w:t>
      </w:r>
      <w:hyperlink r:id="rId7" w:history="1">
        <w:r w:rsidRPr="00FC34C9">
          <w:rPr>
            <w:rStyle w:val="Hyperlink"/>
            <w:rFonts w:ascii="Times New Roman" w:hAnsi="Times New Roman" w:cs="Times New Roman"/>
            <w:color w:val="1A0DAB"/>
            <w:u w:val="none"/>
          </w:rPr>
          <w:t xml:space="preserve">Expressive Harms," Bizarre Districts," and Voting Rights: Evaluating Election-District Appearances After </w:t>
        </w:r>
        <w:r w:rsidRPr="00FC34C9">
          <w:rPr>
            <w:rStyle w:val="Hyperlink"/>
            <w:rFonts w:ascii="Times New Roman" w:hAnsi="Times New Roman" w:cs="Times New Roman"/>
            <w:i/>
            <w:iCs/>
            <w:color w:val="1A0DAB"/>
            <w:u w:val="none"/>
          </w:rPr>
          <w:t>Shaw v. Reno</w:t>
        </w:r>
      </w:hyperlink>
      <w:r>
        <w:rPr>
          <w:rFonts w:ascii="Times New Roman" w:hAnsi="Times New Roman" w:cs="Times New Roman"/>
          <w:color w:val="222222"/>
        </w:rPr>
        <w:t>.</w:t>
      </w:r>
      <w:r w:rsidRPr="00FC34C9">
        <w:rPr>
          <w:rFonts w:ascii="Times New Roman" w:hAnsi="Times New Roman" w:cs="Times New Roman"/>
          <w:color w:val="222222"/>
        </w:rPr>
        <w:t xml:space="preserve">” </w:t>
      </w:r>
      <w:r w:rsidRPr="00FC34C9">
        <w:rPr>
          <w:rFonts w:ascii="Times New Roman" w:hAnsi="Times New Roman" w:cs="Times New Roman"/>
          <w:i/>
          <w:iCs/>
          <w:color w:val="auto"/>
        </w:rPr>
        <w:t xml:space="preserve">Michigan Law </w:t>
      </w:r>
      <w:proofErr w:type="gramStart"/>
      <w:r w:rsidRPr="00FC34C9">
        <w:rPr>
          <w:rFonts w:ascii="Times New Roman" w:hAnsi="Times New Roman" w:cs="Times New Roman"/>
          <w:i/>
          <w:iCs/>
          <w:color w:val="auto"/>
        </w:rPr>
        <w:t>Review</w:t>
      </w:r>
      <w:r w:rsidRPr="00FC34C9">
        <w:rPr>
          <w:rFonts w:ascii="Times New Roman" w:hAnsi="Times New Roman" w:cs="Times New Roman"/>
          <w:color w:val="auto"/>
        </w:rPr>
        <w:t xml:space="preserve"> </w:t>
      </w:r>
      <w:r w:rsidRPr="00FC34C9">
        <w:rPr>
          <w:rFonts w:ascii="Times New Roman" w:hAnsi="Times New Roman" w:cs="Times New Roman"/>
          <w:color w:val="000000"/>
          <w:spacing w:val="-5"/>
          <w:shd w:val="clear" w:color="auto" w:fill="FFFFFF"/>
        </w:rPr>
        <w:t> 92</w:t>
      </w:r>
      <w:proofErr w:type="gramEnd"/>
      <w:r w:rsidRPr="00FC34C9">
        <w:rPr>
          <w:rFonts w:ascii="Times New Roman" w:hAnsi="Times New Roman" w:cs="Times New Roman"/>
          <w:color w:val="000000"/>
          <w:spacing w:val="-5"/>
          <w:shd w:val="clear" w:color="auto" w:fill="FFFFFF"/>
        </w:rPr>
        <w:t xml:space="preserve"> (3): 483-587.</w:t>
      </w:r>
    </w:p>
    <w:p w14:paraId="463D3FBE" w14:textId="77777777" w:rsidR="00FC34C9" w:rsidRPr="00FC34C9" w:rsidRDefault="00FC34C9" w:rsidP="00FC34C9"/>
    <w:p w14:paraId="64769E41" w14:textId="37FBF874" w:rsidR="006F0C56" w:rsidRPr="006F0C56" w:rsidRDefault="00BE0275" w:rsidP="006F0C56">
      <w:pPr>
        <w:rPr>
          <w:color w:val="1F3763" w:themeColor="accent1" w:themeShade="7F"/>
        </w:rPr>
      </w:pPr>
      <w:r w:rsidRPr="006F0C56">
        <w:t xml:space="preserve">Romney, </w:t>
      </w:r>
      <w:r w:rsidR="006F0C56" w:rsidRPr="006F0C56">
        <w:t xml:space="preserve">K. S. </w:t>
      </w:r>
      <w:r w:rsidR="00047FAC" w:rsidRPr="006F0C56">
        <w:t>Weller,</w:t>
      </w:r>
      <w:r w:rsidR="006F0C56" w:rsidRPr="006F0C56">
        <w:t xml:space="preserve"> and W.</w:t>
      </w:r>
      <w:r w:rsidRPr="006F0C56">
        <w:t xml:space="preserve"> Batchelder</w:t>
      </w:r>
      <w:r w:rsidR="006F0C56" w:rsidRPr="006F0C56">
        <w:t>.</w:t>
      </w:r>
      <w:r w:rsidRPr="006F0C56">
        <w:t xml:space="preserve"> </w:t>
      </w:r>
      <w:r w:rsidR="006F0C56" w:rsidRPr="006F0C56">
        <w:t>1986. “</w:t>
      </w:r>
      <w:r w:rsidRPr="006F0C56">
        <w:t>Culture as Consensus</w:t>
      </w:r>
      <w:r w:rsidR="006F0C56" w:rsidRPr="006F0C56">
        <w:t xml:space="preserve">: A Theory </w:t>
      </w:r>
      <w:proofErr w:type="gramStart"/>
      <w:r w:rsidR="006F0C56" w:rsidRPr="006F0C56">
        <w:t>of</w:t>
      </w:r>
      <w:r w:rsidRPr="006F0C56">
        <w:t xml:space="preserve"> </w:t>
      </w:r>
      <w:r w:rsidR="006F0C56" w:rsidRPr="006F0C56">
        <w:t xml:space="preserve"> </w:t>
      </w:r>
      <w:r w:rsidRPr="006F0C56">
        <w:t>Informant</w:t>
      </w:r>
      <w:proofErr w:type="gramEnd"/>
      <w:r w:rsidRPr="006F0C56">
        <w:t xml:space="preserve"> Accuracy</w:t>
      </w:r>
      <w:r w:rsidR="006F0C56" w:rsidRPr="006F0C56">
        <w:t xml:space="preserve">.” </w:t>
      </w:r>
      <w:r w:rsidRPr="006F0C56">
        <w:rPr>
          <w:i/>
          <w:iCs/>
        </w:rPr>
        <w:t>Amer</w:t>
      </w:r>
      <w:r w:rsidR="006F0C56" w:rsidRPr="006F0C56">
        <w:rPr>
          <w:i/>
          <w:iCs/>
        </w:rPr>
        <w:t xml:space="preserve">ican </w:t>
      </w:r>
      <w:r w:rsidRPr="006F0C56">
        <w:rPr>
          <w:i/>
          <w:iCs/>
        </w:rPr>
        <w:t>Anthrop</w:t>
      </w:r>
      <w:r w:rsidR="006F0C56" w:rsidRPr="006F0C56">
        <w:rPr>
          <w:i/>
          <w:iCs/>
        </w:rPr>
        <w:t>ologist</w:t>
      </w:r>
      <w:r w:rsidR="00047FAC" w:rsidRPr="006F0C56">
        <w:t xml:space="preserve">. </w:t>
      </w:r>
      <w:r w:rsidR="006F0C56" w:rsidRPr="006F0C56">
        <w:rPr>
          <w:color w:val="000000"/>
        </w:rPr>
        <w:t>88 (2): 313-338.</w:t>
      </w:r>
    </w:p>
    <w:p w14:paraId="57D75E9C" w14:textId="77777777" w:rsidR="006F0C56" w:rsidRDefault="006F0C56" w:rsidP="00BE0275">
      <w:pPr>
        <w:rPr>
          <w:rFonts w:ascii="Calibri" w:hAnsi="Calibri" w:cs="Calibri"/>
          <w:sz w:val="25"/>
          <w:szCs w:val="25"/>
        </w:rPr>
      </w:pPr>
    </w:p>
    <w:p w14:paraId="3051E0DD" w14:textId="1E4145EB" w:rsidR="00481DDC" w:rsidRDefault="00481DDC" w:rsidP="00BE0275">
      <w:pPr>
        <w:rPr>
          <w:b/>
          <w:color w:val="00B0F0"/>
        </w:rPr>
      </w:pPr>
      <w:r w:rsidRPr="00EE3BF1">
        <w:rPr>
          <w:bCs/>
        </w:rPr>
        <w:t xml:space="preserve">Wang, Samuel H., Sandra J. Chen, Richard Ober, Bernard Grofman, Kyle T. </w:t>
      </w:r>
      <w:r w:rsidR="00047FAC" w:rsidRPr="00EE3BF1">
        <w:rPr>
          <w:bCs/>
        </w:rPr>
        <w:t>Barnes,</w:t>
      </w:r>
      <w:r w:rsidRPr="00EE3BF1">
        <w:rPr>
          <w:bCs/>
        </w:rPr>
        <w:t xml:space="preserve"> and Jonathan Cervas</w:t>
      </w:r>
      <w:r w:rsidR="00047FAC" w:rsidRPr="00EE3BF1">
        <w:rPr>
          <w:bCs/>
        </w:rPr>
        <w:t xml:space="preserve">. </w:t>
      </w:r>
      <w:r w:rsidRPr="00EE3BF1">
        <w:rPr>
          <w:bCs/>
        </w:rPr>
        <w:t xml:space="preserve">2022 forthcoming. </w:t>
      </w:r>
      <w:r w:rsidR="00EE3BF1">
        <w:rPr>
          <w:bCs/>
        </w:rPr>
        <w:t>“</w:t>
      </w:r>
      <w:r w:rsidRPr="00EE3BF1">
        <w:rPr>
          <w:bCs/>
        </w:rPr>
        <w:t>Turning Communities of Interest into a Rigorous Standard for Redistricting</w:t>
      </w:r>
      <w:r w:rsidR="00EE3BF1">
        <w:rPr>
          <w:bCs/>
          <w:i/>
          <w:iCs/>
        </w:rPr>
        <w:t>”</w:t>
      </w:r>
      <w:r w:rsidRPr="00EE3BF1">
        <w:rPr>
          <w:bCs/>
          <w:i/>
          <w:iCs/>
        </w:rPr>
        <w:t xml:space="preserve"> Stanford Civil Rights Civil Liberties Law Review</w:t>
      </w:r>
      <w:r w:rsidRPr="005F18D9">
        <w:rPr>
          <w:b/>
          <w:color w:val="00B0F0"/>
        </w:rPr>
        <w:t>.</w:t>
      </w:r>
    </w:p>
    <w:p w14:paraId="396D939D" w14:textId="3BC4B704" w:rsidR="00481DDC" w:rsidRDefault="00481DDC" w:rsidP="00481DDC">
      <w:pPr>
        <w:ind w:firstLine="720"/>
        <w:rPr>
          <w:b/>
          <w:color w:val="00B0F0"/>
        </w:rPr>
      </w:pPr>
    </w:p>
    <w:p w14:paraId="04ADEB26" w14:textId="77777777" w:rsidR="00481DDC" w:rsidRDefault="00481DDC" w:rsidP="00481DDC">
      <w:pPr>
        <w:ind w:firstLine="720"/>
        <w:rPr>
          <w:rFonts w:ascii="Arial" w:hAnsi="Arial" w:cs="Arial"/>
        </w:rPr>
      </w:pPr>
    </w:p>
    <w:p w14:paraId="434B06D5" w14:textId="77777777" w:rsidR="00481DDC" w:rsidRDefault="00481DDC">
      <w:pPr>
        <w:rPr>
          <w:rFonts w:ascii="Arial" w:hAnsi="Arial" w:cs="Arial"/>
        </w:rPr>
      </w:pPr>
    </w:p>
    <w:p w14:paraId="37CFC914" w14:textId="4E8D2E16" w:rsidR="003828DE" w:rsidRPr="00DE1C21" w:rsidRDefault="007346A3" w:rsidP="00D77705">
      <w:pPr>
        <w:spacing w:line="480" w:lineRule="auto"/>
        <w:rPr>
          <w:rFonts w:ascii="Arial" w:hAnsi="Arial" w:cs="Arial"/>
        </w:rPr>
      </w:pPr>
      <w:r w:rsidRPr="00DE1C21">
        <w:rPr>
          <w:rFonts w:ascii="Arial" w:hAnsi="Arial" w:cs="Arial"/>
          <w:color w:val="333333"/>
          <w:shd w:val="clear" w:color="auto" w:fill="FFFFFF"/>
        </w:rPr>
        <w:t xml:space="preserve"> </w:t>
      </w:r>
    </w:p>
    <w:sectPr w:rsidR="003828DE" w:rsidRPr="00DE1C21">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7BFE" w14:textId="77777777" w:rsidR="00B77148" w:rsidRDefault="00B77148" w:rsidP="00F01658">
      <w:r>
        <w:separator/>
      </w:r>
    </w:p>
  </w:endnote>
  <w:endnote w:type="continuationSeparator" w:id="0">
    <w:p w14:paraId="77A96E77" w14:textId="77777777" w:rsidR="00B77148" w:rsidRDefault="00B77148" w:rsidP="00F01658">
      <w:r>
        <w:continuationSeparator/>
      </w:r>
    </w:p>
  </w:endnote>
  <w:endnote w:id="1">
    <w:p w14:paraId="70863F27" w14:textId="5DC9D6F1" w:rsidR="00486CB6" w:rsidRPr="00C77148" w:rsidRDefault="00486CB6" w:rsidP="00C77148">
      <w:pPr>
        <w:pStyle w:val="EndnoteText"/>
        <w:rPr>
          <w:rFonts w:ascii="Georgia" w:hAnsi="Georgia" w:cs="Arial"/>
          <w:color w:val="000000"/>
          <w:sz w:val="24"/>
          <w:szCs w:val="24"/>
          <w:shd w:val="clear" w:color="auto" w:fill="FFFFFF"/>
        </w:rPr>
      </w:pPr>
      <w:r>
        <w:rPr>
          <w:rStyle w:val="EndnoteReference"/>
        </w:rPr>
        <w:endnoteRef/>
      </w:r>
      <w:r>
        <w:t xml:space="preserve">  </w:t>
      </w:r>
      <w:r>
        <w:rPr>
          <w:sz w:val="24"/>
          <w:szCs w:val="24"/>
        </w:rPr>
        <w:t>T</w:t>
      </w:r>
      <w:r w:rsidRPr="00C77148">
        <w:rPr>
          <w:sz w:val="24"/>
          <w:szCs w:val="24"/>
        </w:rPr>
        <w:t>h</w:t>
      </w:r>
      <w:r>
        <w:rPr>
          <w:sz w:val="24"/>
          <w:szCs w:val="24"/>
        </w:rPr>
        <w:t xml:space="preserve">is case can be seen as  </w:t>
      </w:r>
      <w:r w:rsidRPr="00B77FED">
        <w:rPr>
          <w:sz w:val="24"/>
          <w:szCs w:val="24"/>
        </w:rPr>
        <w:t xml:space="preserve">a precursor to </w:t>
      </w:r>
      <w:r w:rsidRPr="00B77FED">
        <w:rPr>
          <w:i/>
          <w:iCs/>
          <w:sz w:val="24"/>
          <w:szCs w:val="24"/>
        </w:rPr>
        <w:t xml:space="preserve">Shaw v. Reno </w:t>
      </w:r>
      <w:r w:rsidRPr="00B77FED">
        <w:rPr>
          <w:color w:val="202124"/>
          <w:sz w:val="24"/>
          <w:szCs w:val="24"/>
          <w:shd w:val="clear" w:color="auto" w:fill="FFFFFF"/>
        </w:rPr>
        <w:t>509 U.S. 630 (1993)</w:t>
      </w:r>
      <w:r>
        <w:rPr>
          <w:sz w:val="24"/>
          <w:szCs w:val="24"/>
        </w:rPr>
        <w:t xml:space="preserve"> </w:t>
      </w:r>
      <w:r w:rsidRPr="00B77FED">
        <w:rPr>
          <w:sz w:val="24"/>
          <w:szCs w:val="24"/>
        </w:rPr>
        <w:t xml:space="preserve"> in that it also dealt with North Carolina</w:t>
      </w:r>
      <w:r>
        <w:t>’s</w:t>
      </w:r>
      <w:r w:rsidRPr="00B77FED">
        <w:rPr>
          <w:sz w:val="24"/>
          <w:szCs w:val="24"/>
        </w:rPr>
        <w:t xml:space="preserve"> CD 12</w:t>
      </w:r>
      <w:r>
        <w:rPr>
          <w:sz w:val="24"/>
          <w:szCs w:val="24"/>
        </w:rPr>
        <w:t>.</w:t>
      </w:r>
      <w:r w:rsidRPr="00C77148">
        <w:rPr>
          <w:vertAlign w:val="superscript"/>
        </w:rPr>
        <w:t xml:space="preserve"> </w:t>
      </w:r>
      <w:r>
        <w:rPr>
          <w:sz w:val="24"/>
          <w:szCs w:val="24"/>
        </w:rPr>
        <w:t xml:space="preserve">However, the  </w:t>
      </w:r>
      <w:r w:rsidRPr="00C77148">
        <w:rPr>
          <w:sz w:val="24"/>
          <w:szCs w:val="24"/>
        </w:rPr>
        <w:t xml:space="preserve">legal challenge </w:t>
      </w:r>
      <w:r>
        <w:rPr>
          <w:sz w:val="24"/>
          <w:szCs w:val="24"/>
        </w:rPr>
        <w:t xml:space="preserve"> to the North Carolina map in  </w:t>
      </w:r>
      <w:r w:rsidRPr="00EC5BB6">
        <w:rPr>
          <w:i/>
          <w:iCs/>
          <w:sz w:val="24"/>
          <w:szCs w:val="24"/>
        </w:rPr>
        <w:t>Pope v. Blue</w:t>
      </w:r>
      <w:r>
        <w:rPr>
          <w:sz w:val="24"/>
          <w:szCs w:val="24"/>
        </w:rPr>
        <w:t xml:space="preserve"> was focused on</w:t>
      </w:r>
      <w:r w:rsidRPr="00C77148">
        <w:rPr>
          <w:sz w:val="24"/>
          <w:szCs w:val="24"/>
        </w:rPr>
        <w:t xml:space="preserve"> partisan not racial grounds</w:t>
      </w:r>
      <w:r>
        <w:rPr>
          <w:sz w:val="24"/>
          <w:szCs w:val="24"/>
        </w:rPr>
        <w:t>;</w:t>
      </w:r>
      <w:r w:rsidRPr="00C77148">
        <w:rPr>
          <w:sz w:val="24"/>
          <w:szCs w:val="24"/>
        </w:rPr>
        <w:t xml:space="preserve"> </w:t>
      </w:r>
      <w:r>
        <w:rPr>
          <w:sz w:val="24"/>
          <w:szCs w:val="24"/>
        </w:rPr>
        <w:t>the lawsuit</w:t>
      </w:r>
      <w:r w:rsidRPr="00C77148">
        <w:rPr>
          <w:sz w:val="24"/>
          <w:szCs w:val="24"/>
        </w:rPr>
        <w:t xml:space="preserve"> was dismissed </w:t>
      </w:r>
      <w:r>
        <w:rPr>
          <w:sz w:val="24"/>
          <w:szCs w:val="24"/>
        </w:rPr>
        <w:t xml:space="preserve">because the trial court found that  </w:t>
      </w:r>
      <w:r w:rsidRPr="00C77148">
        <w:rPr>
          <w:sz w:val="24"/>
          <w:szCs w:val="24"/>
        </w:rPr>
        <w:t>plaintiffs</w:t>
      </w:r>
      <w:r>
        <w:rPr>
          <w:sz w:val="24"/>
          <w:szCs w:val="24"/>
        </w:rPr>
        <w:t xml:space="preserve"> had failed to make a credible allegation</w:t>
      </w:r>
      <w:r w:rsidRPr="00C77148">
        <w:rPr>
          <w:sz w:val="24"/>
          <w:szCs w:val="24"/>
        </w:rPr>
        <w:t xml:space="preserve"> that</w:t>
      </w:r>
      <w:r>
        <w:rPr>
          <w:sz w:val="24"/>
          <w:szCs w:val="24"/>
        </w:rPr>
        <w:t xml:space="preserve">, in the language of </w:t>
      </w:r>
      <w:r w:rsidRPr="00CA50D4">
        <w:rPr>
          <w:i/>
          <w:iCs/>
          <w:sz w:val="24"/>
          <w:szCs w:val="24"/>
        </w:rPr>
        <w:t>Davis v. Bandemer</w:t>
      </w:r>
      <w:r>
        <w:rPr>
          <w:sz w:val="24"/>
          <w:szCs w:val="24"/>
        </w:rPr>
        <w:t xml:space="preserve">, 478 U.S. 1010 (1986), </w:t>
      </w:r>
      <w:r w:rsidRPr="00C77148">
        <w:rPr>
          <w:rFonts w:ascii="Georgia" w:hAnsi="Georgia" w:cs="Arial"/>
          <w:color w:val="000000" w:themeColor="text1"/>
          <w:sz w:val="24"/>
          <w:szCs w:val="24"/>
          <w:shd w:val="clear" w:color="auto" w:fill="FFFFFF"/>
        </w:rPr>
        <w:t xml:space="preserve">the </w:t>
      </w:r>
      <w:r w:rsidRPr="00C77148">
        <w:rPr>
          <w:rFonts w:ascii="Georgia" w:hAnsi="Georgia" w:cs="Arial"/>
          <w:color w:val="000000"/>
          <w:sz w:val="24"/>
          <w:szCs w:val="24"/>
          <w:shd w:val="clear" w:color="auto" w:fill="FFFFFF"/>
        </w:rPr>
        <w:t xml:space="preserve">state's redistricting plan had caused them to be "shut out of the political process.” </w:t>
      </w:r>
      <w:r>
        <w:rPr>
          <w:rFonts w:ascii="Georgia" w:hAnsi="Georgia" w:cs="Arial"/>
          <w:color w:val="000000"/>
          <w:sz w:val="24"/>
          <w:szCs w:val="24"/>
          <w:shd w:val="clear" w:color="auto" w:fill="FFFFFF"/>
        </w:rPr>
        <w:t xml:space="preserve"> </w:t>
      </w:r>
    </w:p>
    <w:p w14:paraId="6931B30D" w14:textId="77777777" w:rsidR="00486CB6" w:rsidRDefault="00486CB6" w:rsidP="00C77148">
      <w:pPr>
        <w:rPr>
          <w:sz w:val="20"/>
          <w:szCs w:val="20"/>
        </w:rPr>
      </w:pPr>
    </w:p>
  </w:endnote>
  <w:endnote w:id="2">
    <w:p w14:paraId="7D60BA6D" w14:textId="571E019F" w:rsidR="00486CB6" w:rsidRDefault="00486CB6" w:rsidP="00FF4E9E">
      <w:pPr>
        <w:pStyle w:val="EndnoteText"/>
        <w:rPr>
          <w:sz w:val="24"/>
          <w:szCs w:val="24"/>
        </w:rPr>
      </w:pPr>
      <w:r w:rsidRPr="00FD67C2">
        <w:rPr>
          <w:rStyle w:val="EndnoteReference"/>
          <w:sz w:val="24"/>
          <w:szCs w:val="24"/>
        </w:rPr>
        <w:endnoteRef/>
      </w:r>
      <w:r w:rsidRPr="00FD67C2">
        <w:rPr>
          <w:sz w:val="24"/>
          <w:szCs w:val="24"/>
        </w:rPr>
        <w:t xml:space="preserve"> </w:t>
      </w:r>
      <w:r w:rsidRPr="009D5CB9">
        <w:rPr>
          <w:sz w:val="24"/>
          <w:szCs w:val="24"/>
        </w:rPr>
        <w:t>Phillips and Montello</w:t>
      </w:r>
      <w:r>
        <w:rPr>
          <w:sz w:val="24"/>
          <w:szCs w:val="24"/>
        </w:rPr>
        <w:t xml:space="preserve"> (2017: 32) </w:t>
      </w:r>
      <w:r w:rsidRPr="009D5CB9">
        <w:rPr>
          <w:sz w:val="24"/>
          <w:szCs w:val="24"/>
        </w:rPr>
        <w:t xml:space="preserve"> provide a number of </w:t>
      </w:r>
      <w:r>
        <w:rPr>
          <w:sz w:val="24"/>
          <w:szCs w:val="24"/>
        </w:rPr>
        <w:t xml:space="preserve">other  </w:t>
      </w:r>
      <w:r w:rsidRPr="009D5CB9">
        <w:rPr>
          <w:sz w:val="24"/>
          <w:szCs w:val="24"/>
        </w:rPr>
        <w:t>examples of authors</w:t>
      </w:r>
      <w:r>
        <w:rPr>
          <w:sz w:val="24"/>
          <w:szCs w:val="24"/>
        </w:rPr>
        <w:t xml:space="preserve"> </w:t>
      </w:r>
      <w:r w:rsidRPr="009D5CB9">
        <w:rPr>
          <w:sz w:val="24"/>
          <w:szCs w:val="24"/>
        </w:rPr>
        <w:t xml:space="preserve">who </w:t>
      </w:r>
      <w:r>
        <w:rPr>
          <w:sz w:val="24"/>
          <w:szCs w:val="24"/>
        </w:rPr>
        <w:t>proposed the notion of self-reported communities of interest.</w:t>
      </w:r>
      <w:r w:rsidRPr="009D5CB9">
        <w:rPr>
          <w:sz w:val="24"/>
          <w:szCs w:val="24"/>
        </w:rPr>
        <w:t xml:space="preserve"> </w:t>
      </w:r>
    </w:p>
    <w:p w14:paraId="02DCDB84" w14:textId="77777777" w:rsidR="00486CB6" w:rsidRPr="00FD67C2" w:rsidRDefault="00486CB6" w:rsidP="00FF4E9E">
      <w:pPr>
        <w:pStyle w:val="EndnoteText"/>
        <w:rPr>
          <w:sz w:val="24"/>
          <w:szCs w:val="24"/>
        </w:rPr>
      </w:pPr>
    </w:p>
  </w:endnote>
  <w:endnote w:id="3">
    <w:p w14:paraId="6E39ECFD" w14:textId="77777777" w:rsidR="00486CB6" w:rsidRDefault="00486CB6" w:rsidP="00486CB6">
      <w:pPr>
        <w:pStyle w:val="Heading3"/>
        <w:shd w:val="clear" w:color="auto" w:fill="FFFFFF"/>
        <w:spacing w:before="0" w:after="30" w:line="285" w:lineRule="atLeast"/>
        <w:rPr>
          <w:rFonts w:ascii="Arial" w:hAnsi="Arial" w:cs="Arial"/>
          <w:color w:val="006621"/>
          <w:sz w:val="20"/>
          <w:szCs w:val="20"/>
        </w:rPr>
      </w:pPr>
      <w:r>
        <w:rPr>
          <w:rStyle w:val="EndnoteReference"/>
        </w:rPr>
        <w:endnoteRef/>
      </w:r>
      <w:r>
        <w:t xml:space="preserve"> </w:t>
      </w:r>
      <w:r w:rsidRPr="00CA50D4">
        <w:rPr>
          <w:rFonts w:ascii="Times New Roman" w:hAnsi="Times New Roman" w:cs="Times New Roman"/>
        </w:rPr>
        <w:t xml:space="preserve">This point can be thought of as </w:t>
      </w:r>
      <w:r>
        <w:rPr>
          <w:rFonts w:ascii="Times New Roman" w:hAnsi="Times New Roman" w:cs="Times New Roman"/>
        </w:rPr>
        <w:t xml:space="preserve">a counterpoint to </w:t>
      </w:r>
      <w:r w:rsidRPr="00CA50D4">
        <w:rPr>
          <w:rFonts w:ascii="Times New Roman" w:hAnsi="Times New Roman" w:cs="Times New Roman"/>
        </w:rPr>
        <w:t>ideas in Pildes and Niemi</w:t>
      </w:r>
      <w:r>
        <w:rPr>
          <w:rFonts w:ascii="Times New Roman" w:hAnsi="Times New Roman" w:cs="Times New Roman"/>
        </w:rPr>
        <w:t xml:space="preserve"> </w:t>
      </w:r>
      <w:r w:rsidRPr="00CA50D4">
        <w:rPr>
          <w:rFonts w:ascii="Times New Roman" w:hAnsi="Times New Roman" w:cs="Times New Roman"/>
        </w:rPr>
        <w:t>(1993)</w:t>
      </w:r>
      <w:r>
        <w:rPr>
          <w:rFonts w:ascii="Times New Roman" w:hAnsi="Times New Roman" w:cs="Times New Roman"/>
        </w:rPr>
        <w:t xml:space="preserve"> about expressive harms due to districts that are drawn simply with race</w:t>
      </w:r>
      <w:r>
        <w:t xml:space="preserve"> </w:t>
      </w:r>
      <w:r w:rsidRPr="00FC34C9">
        <w:rPr>
          <w:rFonts w:ascii="Times New Roman" w:hAnsi="Times New Roman" w:cs="Times New Roman"/>
        </w:rPr>
        <w:t>in mind</w:t>
      </w:r>
      <w:r>
        <w:t>.</w:t>
      </w:r>
    </w:p>
    <w:p w14:paraId="3F459D45" w14:textId="77777777" w:rsidR="00486CB6" w:rsidRDefault="00486CB6" w:rsidP="00486CB6">
      <w:pPr>
        <w:pStyle w:val="EndnoteText"/>
      </w:pPr>
    </w:p>
  </w:endnote>
  <w:endnote w:id="4">
    <w:p w14:paraId="2562AFCD" w14:textId="23570B69" w:rsidR="00D80ADF" w:rsidRPr="00964FA9" w:rsidRDefault="00D80ADF" w:rsidP="00D80ADF">
      <w:pPr>
        <w:shd w:val="clear" w:color="auto" w:fill="FFFFFF"/>
        <w:rPr>
          <w:bCs/>
        </w:rPr>
      </w:pPr>
      <w:r>
        <w:rPr>
          <w:rStyle w:val="EndnoteReference"/>
        </w:rPr>
        <w:endnoteRef/>
      </w:r>
      <w:r>
        <w:t xml:space="preserve"> </w:t>
      </w:r>
      <w:r w:rsidRPr="00486CB6">
        <w:t xml:space="preserve">In  a recent research note in </w:t>
      </w:r>
      <w:r w:rsidRPr="00486CB6">
        <w:rPr>
          <w:i/>
          <w:iCs/>
        </w:rPr>
        <w:t>Election Law Journal</w:t>
      </w:r>
      <w:r w:rsidRPr="00486CB6">
        <w:t xml:space="preserve"> Jonathan Cervas and I (2021) </w:t>
      </w:r>
      <w:r>
        <w:t>consider ideas of cognizability in the context of</w:t>
      </w:r>
      <w:r w:rsidRPr="00486CB6">
        <w:t xml:space="preserve"> using zip codes as the basis for drawing districts. </w:t>
      </w:r>
      <w:r w:rsidRPr="00486CB6">
        <w:rPr>
          <w:lang w:bidi="th-TH"/>
        </w:rPr>
        <w:t>Until we started writing that essay, except for the ZIP code which is entirely the University of California, Irvine, neither of us had any idea what are the boundaries of any  ZIP code in the city (Irvine), including the ZIP code in which the home of one of us is located.</w:t>
      </w:r>
      <w:r w:rsidRPr="00486CB6">
        <w:rPr>
          <w:rStyle w:val="EndnoteReference"/>
          <w:b/>
          <w:bCs/>
          <w:lang w:bidi="th-TH"/>
        </w:rPr>
        <w:t xml:space="preserve"> </w:t>
      </w:r>
      <w:r w:rsidRPr="00486CB6">
        <w:t xml:space="preserve">We observe that there are pieces of seventeen ZIP codes are contained in the City of Irvine, but the majority of voters in some split ZIP codes, such as 92630, which is predominantly in Lake Forest, CA, do not live in Irvine. </w:t>
      </w:r>
      <w:r w:rsidR="00964FA9">
        <w:t>Indeed, in</w:t>
      </w:r>
      <w:r w:rsidRPr="00486CB6">
        <w:t xml:space="preserve"> our best judgment, only two ZIP codes of the seventeen are wholly contained within the City of Irvine, CA (92604, 92617).</w:t>
      </w:r>
      <w:r w:rsidRPr="00486CB6">
        <w:rPr>
          <w:rStyle w:val="EndnoteReference"/>
        </w:rPr>
        <w:t xml:space="preserve"> </w:t>
      </w:r>
      <w:r w:rsidRPr="00486CB6">
        <w:rPr>
          <w:b/>
          <w:bCs/>
        </w:rPr>
        <w:t xml:space="preserve"> </w:t>
      </w:r>
      <w:r w:rsidRPr="00486CB6">
        <w:t xml:space="preserve">But the City of Irvine is wholly within California CD 45, and that, in our view, matters a lot more for the </w:t>
      </w:r>
      <w:r w:rsidRPr="00486CB6">
        <w:rPr>
          <w:i/>
          <w:iCs/>
        </w:rPr>
        <w:t xml:space="preserve">cognizability </w:t>
      </w:r>
      <w:r w:rsidRPr="00486CB6">
        <w:t>of that CD to the residents of Irvine than knowing a particular ZIP code.</w:t>
      </w:r>
      <w:r>
        <w:rPr>
          <w:b/>
          <w:color w:val="00B0F0"/>
        </w:rPr>
        <w:t xml:space="preserve"> </w:t>
      </w:r>
      <w:r w:rsidR="00964FA9" w:rsidRPr="00964FA9">
        <w:rPr>
          <w:bCs/>
        </w:rPr>
        <w:t xml:space="preserve">Since I have become a long term resident of California, my own mental map of the area I live in is based largely on knowing what cities good restaurants/good doctors are located in within what I consider my “cruising range,” and how to use the freeways to get to them. In this I </w:t>
      </w:r>
      <w:r w:rsidR="00047FAC">
        <w:rPr>
          <w:bCs/>
        </w:rPr>
        <w:t>illustrate</w:t>
      </w:r>
      <w:r w:rsidR="00964FA9" w:rsidRPr="00964FA9">
        <w:rPr>
          <w:bCs/>
        </w:rPr>
        <w:t xml:space="preserve"> an observation by Oxford mathematical economist, Peyton Young</w:t>
      </w:r>
      <w:r w:rsidR="004C506E">
        <w:rPr>
          <w:bCs/>
        </w:rPr>
        <w:t xml:space="preserve"> (personal communication, 2006)</w:t>
      </w:r>
      <w:r w:rsidR="00964FA9" w:rsidRPr="00964FA9">
        <w:rPr>
          <w:bCs/>
        </w:rPr>
        <w:t>, that “in California, the shortest district between any two points passes through a car.”</w:t>
      </w:r>
    </w:p>
    <w:p w14:paraId="34508D63" w14:textId="2AD5B543" w:rsidR="00D80ADF" w:rsidRDefault="00D80ADF" w:rsidP="00D80ADF">
      <w:pPr>
        <w:pStyle w:val="EndnoteText"/>
      </w:pPr>
    </w:p>
  </w:endnote>
  <w:endnote w:id="5">
    <w:p w14:paraId="488F4241" w14:textId="43CC09F3" w:rsidR="00486CB6" w:rsidRDefault="00486CB6">
      <w:pPr>
        <w:pStyle w:val="EndnoteText"/>
        <w:rPr>
          <w:sz w:val="24"/>
          <w:szCs w:val="24"/>
        </w:rPr>
      </w:pPr>
      <w:r>
        <w:rPr>
          <w:rStyle w:val="EndnoteReference"/>
        </w:rPr>
        <w:endnoteRef/>
      </w:r>
      <w:r>
        <w:t xml:space="preserve"> </w:t>
      </w:r>
      <w:r w:rsidRPr="003638B6">
        <w:rPr>
          <w:i/>
          <w:iCs/>
          <w:sz w:val="24"/>
          <w:szCs w:val="24"/>
        </w:rPr>
        <w:t>Mappability</w:t>
      </w:r>
      <w:r w:rsidRPr="003638B6">
        <w:rPr>
          <w:sz w:val="24"/>
          <w:szCs w:val="24"/>
        </w:rPr>
        <w:t xml:space="preserve"> is a term introduced in Miller and Grofman (2018) to refer to citizen feedback on redistricting maps that comes in a form that might actually be directly useful to mapmakers in crafting changes in district lines in that the proposed change(s) could be precisely identified on a map. These authors show that relatively small changes that could be implemented without drastic reconfiguration of district boundaries  were more likely to be adopted by mapmakers doing revised plans after receiving citizen input than suggestions that required major changes. They also found that m</w:t>
      </w:r>
      <w:r>
        <w:rPr>
          <w:sz w:val="24"/>
          <w:szCs w:val="24"/>
        </w:rPr>
        <w:t>ost</w:t>
      </w:r>
      <w:r w:rsidRPr="003638B6">
        <w:rPr>
          <w:sz w:val="24"/>
          <w:szCs w:val="24"/>
        </w:rPr>
        <w:t xml:space="preserve"> citizen recommendations were not mappable</w:t>
      </w:r>
      <w:r>
        <w:rPr>
          <w:sz w:val="24"/>
          <w:szCs w:val="24"/>
        </w:rPr>
        <w:t>,</w:t>
      </w:r>
      <w:r w:rsidRPr="003638B6">
        <w:rPr>
          <w:sz w:val="24"/>
          <w:szCs w:val="24"/>
        </w:rPr>
        <w:t xml:space="preserve"> and thus virtually certain to be disregarded.</w:t>
      </w:r>
    </w:p>
    <w:p w14:paraId="05A69795" w14:textId="77777777" w:rsidR="00486CB6" w:rsidRPr="003638B6" w:rsidRDefault="00486CB6">
      <w:pPr>
        <w:pStyle w:val="EndnoteText"/>
        <w:rPr>
          <w:sz w:val="24"/>
          <w:szCs w:val="24"/>
        </w:rPr>
      </w:pPr>
    </w:p>
  </w:endnote>
  <w:endnote w:id="6">
    <w:p w14:paraId="52D1108B" w14:textId="4B810DB1" w:rsidR="006F0C56" w:rsidRPr="006F0C56" w:rsidRDefault="006F0C56">
      <w:pPr>
        <w:pStyle w:val="EndnoteText"/>
        <w:rPr>
          <w:sz w:val="24"/>
          <w:szCs w:val="24"/>
        </w:rPr>
      </w:pPr>
      <w:r w:rsidRPr="006F0C56">
        <w:rPr>
          <w:rStyle w:val="EndnoteReference"/>
          <w:sz w:val="24"/>
          <w:szCs w:val="24"/>
        </w:rPr>
        <w:endnoteRef/>
      </w:r>
      <w:r w:rsidRPr="006F0C56">
        <w:rPr>
          <w:sz w:val="24"/>
          <w:szCs w:val="24"/>
        </w:rPr>
        <w:t xml:space="preserve"> There is also a larger literature in cognitive psychology and cognitive  anthropology on mental maps Also </w:t>
      </w:r>
      <w:r>
        <w:rPr>
          <w:sz w:val="24"/>
          <w:szCs w:val="24"/>
        </w:rPr>
        <w:t xml:space="preserve">potentially </w:t>
      </w:r>
      <w:r w:rsidRPr="006F0C56">
        <w:rPr>
          <w:sz w:val="24"/>
          <w:szCs w:val="24"/>
        </w:rPr>
        <w:t xml:space="preserve">relevant is  Romney, Weller and Batchelder (1986)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SansStd">
    <w:altName w:val="Yu Gothic"/>
    <w:panose1 w:val="020B0604020202020204"/>
    <w:charset w:val="80"/>
    <w:family w:val="swiss"/>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F0CF" w14:textId="77777777" w:rsidR="00B77148" w:rsidRDefault="00B77148" w:rsidP="00F01658">
      <w:r>
        <w:separator/>
      </w:r>
    </w:p>
  </w:footnote>
  <w:footnote w:type="continuationSeparator" w:id="0">
    <w:p w14:paraId="364C29CF" w14:textId="77777777" w:rsidR="00B77148" w:rsidRDefault="00B77148" w:rsidP="00F0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20508"/>
      <w:docPartObj>
        <w:docPartGallery w:val="Page Numbers (Top of Page)"/>
        <w:docPartUnique/>
      </w:docPartObj>
    </w:sdtPr>
    <w:sdtEndPr>
      <w:rPr>
        <w:noProof/>
      </w:rPr>
    </w:sdtEndPr>
    <w:sdtContent>
      <w:p w14:paraId="0CA81C3E" w14:textId="25AA5C36" w:rsidR="00EC2FC3" w:rsidRDefault="00EC2F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5AFA98" w14:textId="77777777" w:rsidR="00EC2FC3" w:rsidRDefault="00EC2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MTc0N7IwM7YwMTBT0lEKTi0uzszPAykwMqoFAAQQjTgtAAAA"/>
  </w:docVars>
  <w:rsids>
    <w:rsidRoot w:val="00EC4B36"/>
    <w:rsid w:val="00014898"/>
    <w:rsid w:val="00020080"/>
    <w:rsid w:val="00026429"/>
    <w:rsid w:val="0004040A"/>
    <w:rsid w:val="00047291"/>
    <w:rsid w:val="00047FAC"/>
    <w:rsid w:val="00097E90"/>
    <w:rsid w:val="000C284D"/>
    <w:rsid w:val="000C52F4"/>
    <w:rsid w:val="000F16AB"/>
    <w:rsid w:val="000F5FA2"/>
    <w:rsid w:val="00103EFB"/>
    <w:rsid w:val="00112B51"/>
    <w:rsid w:val="0012389D"/>
    <w:rsid w:val="00125844"/>
    <w:rsid w:val="0014338B"/>
    <w:rsid w:val="00147317"/>
    <w:rsid w:val="00167426"/>
    <w:rsid w:val="00172976"/>
    <w:rsid w:val="0017426B"/>
    <w:rsid w:val="00192C18"/>
    <w:rsid w:val="001E3634"/>
    <w:rsid w:val="001F3A60"/>
    <w:rsid w:val="002135FA"/>
    <w:rsid w:val="00216F20"/>
    <w:rsid w:val="002170E2"/>
    <w:rsid w:val="00227251"/>
    <w:rsid w:val="00245F64"/>
    <w:rsid w:val="0025346B"/>
    <w:rsid w:val="00256B2D"/>
    <w:rsid w:val="00256FC9"/>
    <w:rsid w:val="00270C31"/>
    <w:rsid w:val="0028778A"/>
    <w:rsid w:val="00287950"/>
    <w:rsid w:val="00295DE0"/>
    <w:rsid w:val="002C7126"/>
    <w:rsid w:val="002D4DDA"/>
    <w:rsid w:val="002F0707"/>
    <w:rsid w:val="00307BBE"/>
    <w:rsid w:val="00333916"/>
    <w:rsid w:val="00351838"/>
    <w:rsid w:val="003638B6"/>
    <w:rsid w:val="00363FA5"/>
    <w:rsid w:val="00374624"/>
    <w:rsid w:val="00375C5F"/>
    <w:rsid w:val="003828DE"/>
    <w:rsid w:val="00385723"/>
    <w:rsid w:val="00385B44"/>
    <w:rsid w:val="00387AC3"/>
    <w:rsid w:val="00390BE8"/>
    <w:rsid w:val="003A4549"/>
    <w:rsid w:val="003D6D4B"/>
    <w:rsid w:val="003E0DC6"/>
    <w:rsid w:val="003E7C73"/>
    <w:rsid w:val="00447C56"/>
    <w:rsid w:val="004545C5"/>
    <w:rsid w:val="00465CDE"/>
    <w:rsid w:val="00472037"/>
    <w:rsid w:val="00480E07"/>
    <w:rsid w:val="00481DDC"/>
    <w:rsid w:val="004824E6"/>
    <w:rsid w:val="00484085"/>
    <w:rsid w:val="00486CB6"/>
    <w:rsid w:val="004C506E"/>
    <w:rsid w:val="004D5E63"/>
    <w:rsid w:val="004E7772"/>
    <w:rsid w:val="005001F7"/>
    <w:rsid w:val="005040DB"/>
    <w:rsid w:val="005244AD"/>
    <w:rsid w:val="0053411F"/>
    <w:rsid w:val="00534817"/>
    <w:rsid w:val="005473B6"/>
    <w:rsid w:val="0058118F"/>
    <w:rsid w:val="005A116C"/>
    <w:rsid w:val="005A6E26"/>
    <w:rsid w:val="005D0C7F"/>
    <w:rsid w:val="005D5DE8"/>
    <w:rsid w:val="005D5F6C"/>
    <w:rsid w:val="005D7D11"/>
    <w:rsid w:val="005E37A3"/>
    <w:rsid w:val="005F15BB"/>
    <w:rsid w:val="005F25FD"/>
    <w:rsid w:val="00600044"/>
    <w:rsid w:val="00623940"/>
    <w:rsid w:val="00631AFD"/>
    <w:rsid w:val="0063389B"/>
    <w:rsid w:val="00647E12"/>
    <w:rsid w:val="00665760"/>
    <w:rsid w:val="006765BA"/>
    <w:rsid w:val="006823F3"/>
    <w:rsid w:val="006B0155"/>
    <w:rsid w:val="006B020A"/>
    <w:rsid w:val="006C49AB"/>
    <w:rsid w:val="006D5264"/>
    <w:rsid w:val="006E19F5"/>
    <w:rsid w:val="006F0C56"/>
    <w:rsid w:val="006F314F"/>
    <w:rsid w:val="006F59DF"/>
    <w:rsid w:val="00711155"/>
    <w:rsid w:val="007216D3"/>
    <w:rsid w:val="007346A3"/>
    <w:rsid w:val="0073470F"/>
    <w:rsid w:val="00742B16"/>
    <w:rsid w:val="00753C5F"/>
    <w:rsid w:val="007602D8"/>
    <w:rsid w:val="00774EEA"/>
    <w:rsid w:val="007B3AB5"/>
    <w:rsid w:val="007B5FBC"/>
    <w:rsid w:val="0080013C"/>
    <w:rsid w:val="00812196"/>
    <w:rsid w:val="00834F3F"/>
    <w:rsid w:val="00843A94"/>
    <w:rsid w:val="00844382"/>
    <w:rsid w:val="00851F50"/>
    <w:rsid w:val="0085336F"/>
    <w:rsid w:val="00867457"/>
    <w:rsid w:val="008A60FA"/>
    <w:rsid w:val="008B5007"/>
    <w:rsid w:val="009307F8"/>
    <w:rsid w:val="0095115A"/>
    <w:rsid w:val="00964FA9"/>
    <w:rsid w:val="009667DF"/>
    <w:rsid w:val="009878C1"/>
    <w:rsid w:val="00992BA2"/>
    <w:rsid w:val="009A362B"/>
    <w:rsid w:val="009A41CC"/>
    <w:rsid w:val="009C0E7D"/>
    <w:rsid w:val="009C589C"/>
    <w:rsid w:val="009D4518"/>
    <w:rsid w:val="009E17DB"/>
    <w:rsid w:val="009F3643"/>
    <w:rsid w:val="00A17BAB"/>
    <w:rsid w:val="00A24478"/>
    <w:rsid w:val="00A3020C"/>
    <w:rsid w:val="00A31A3E"/>
    <w:rsid w:val="00A31B5E"/>
    <w:rsid w:val="00A37CE1"/>
    <w:rsid w:val="00A46811"/>
    <w:rsid w:val="00A5704F"/>
    <w:rsid w:val="00A60943"/>
    <w:rsid w:val="00A6598D"/>
    <w:rsid w:val="00A77921"/>
    <w:rsid w:val="00A84E19"/>
    <w:rsid w:val="00AB0C2C"/>
    <w:rsid w:val="00AB2955"/>
    <w:rsid w:val="00AB7B40"/>
    <w:rsid w:val="00AE0AA5"/>
    <w:rsid w:val="00B14D53"/>
    <w:rsid w:val="00B30C60"/>
    <w:rsid w:val="00B4625F"/>
    <w:rsid w:val="00B469CA"/>
    <w:rsid w:val="00B54837"/>
    <w:rsid w:val="00B704AE"/>
    <w:rsid w:val="00B71756"/>
    <w:rsid w:val="00B71FC2"/>
    <w:rsid w:val="00B77148"/>
    <w:rsid w:val="00B77FED"/>
    <w:rsid w:val="00B83592"/>
    <w:rsid w:val="00B9230B"/>
    <w:rsid w:val="00B967CF"/>
    <w:rsid w:val="00BB07E5"/>
    <w:rsid w:val="00BB3FA9"/>
    <w:rsid w:val="00BD7B05"/>
    <w:rsid w:val="00BE0275"/>
    <w:rsid w:val="00BF73D3"/>
    <w:rsid w:val="00C06E04"/>
    <w:rsid w:val="00C11D6D"/>
    <w:rsid w:val="00C201A3"/>
    <w:rsid w:val="00C301C9"/>
    <w:rsid w:val="00C40A13"/>
    <w:rsid w:val="00C426E7"/>
    <w:rsid w:val="00C60706"/>
    <w:rsid w:val="00C65057"/>
    <w:rsid w:val="00C77148"/>
    <w:rsid w:val="00CA50D4"/>
    <w:rsid w:val="00CD1163"/>
    <w:rsid w:val="00D0602F"/>
    <w:rsid w:val="00D33FA3"/>
    <w:rsid w:val="00D521FA"/>
    <w:rsid w:val="00D648C2"/>
    <w:rsid w:val="00D77705"/>
    <w:rsid w:val="00D80ADF"/>
    <w:rsid w:val="00D95B0F"/>
    <w:rsid w:val="00DA2232"/>
    <w:rsid w:val="00DC120E"/>
    <w:rsid w:val="00DD0209"/>
    <w:rsid w:val="00DD07DF"/>
    <w:rsid w:val="00DD17F4"/>
    <w:rsid w:val="00DE1457"/>
    <w:rsid w:val="00DE1C21"/>
    <w:rsid w:val="00DF5231"/>
    <w:rsid w:val="00E004FE"/>
    <w:rsid w:val="00E20406"/>
    <w:rsid w:val="00E26473"/>
    <w:rsid w:val="00E27A31"/>
    <w:rsid w:val="00E64DDA"/>
    <w:rsid w:val="00E7623D"/>
    <w:rsid w:val="00E87849"/>
    <w:rsid w:val="00E90DF1"/>
    <w:rsid w:val="00EB32EE"/>
    <w:rsid w:val="00EB7226"/>
    <w:rsid w:val="00EC2FC3"/>
    <w:rsid w:val="00EC4B36"/>
    <w:rsid w:val="00EC5B38"/>
    <w:rsid w:val="00EC5BB6"/>
    <w:rsid w:val="00EE3BF1"/>
    <w:rsid w:val="00F01658"/>
    <w:rsid w:val="00F10E56"/>
    <w:rsid w:val="00F15903"/>
    <w:rsid w:val="00F16573"/>
    <w:rsid w:val="00F17943"/>
    <w:rsid w:val="00F3094C"/>
    <w:rsid w:val="00F44BD2"/>
    <w:rsid w:val="00F71769"/>
    <w:rsid w:val="00F957AF"/>
    <w:rsid w:val="00FA0DDA"/>
    <w:rsid w:val="00FA4AFB"/>
    <w:rsid w:val="00FC1EF4"/>
    <w:rsid w:val="00FC32DC"/>
    <w:rsid w:val="00FC34C9"/>
    <w:rsid w:val="00FE135C"/>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1E3"/>
  <w15:chartTrackingRefBased/>
  <w15:docId w15:val="{6FCCF521-EDAE-4FE6-8D8F-86AA8BBC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80"/>
    <w:rPr>
      <w:sz w:val="24"/>
      <w:szCs w:val="24"/>
    </w:rPr>
  </w:style>
  <w:style w:type="paragraph" w:styleId="Heading1">
    <w:name w:val="heading 1"/>
    <w:basedOn w:val="Normal"/>
    <w:link w:val="Heading1Char"/>
    <w:uiPriority w:val="9"/>
    <w:qFormat/>
    <w:rsid w:val="00A4681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46811"/>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8674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1658"/>
    <w:rPr>
      <w:sz w:val="20"/>
      <w:szCs w:val="20"/>
    </w:rPr>
  </w:style>
  <w:style w:type="character" w:customStyle="1" w:styleId="FootnoteTextChar">
    <w:name w:val="Footnote Text Char"/>
    <w:basedOn w:val="DefaultParagraphFont"/>
    <w:link w:val="FootnoteText"/>
    <w:uiPriority w:val="99"/>
    <w:rsid w:val="00F01658"/>
  </w:style>
  <w:style w:type="character" w:styleId="FootnoteReference">
    <w:name w:val="footnote reference"/>
    <w:basedOn w:val="DefaultParagraphFont"/>
    <w:uiPriority w:val="99"/>
    <w:unhideWhenUsed/>
    <w:rsid w:val="00F01658"/>
    <w:rPr>
      <w:vertAlign w:val="superscript"/>
    </w:rPr>
  </w:style>
  <w:style w:type="character" w:styleId="Hyperlink">
    <w:name w:val="Hyperlink"/>
    <w:basedOn w:val="DefaultParagraphFont"/>
    <w:uiPriority w:val="99"/>
    <w:unhideWhenUsed/>
    <w:rsid w:val="005E37A3"/>
    <w:rPr>
      <w:color w:val="0563C1" w:themeColor="hyperlink"/>
      <w:u w:val="single"/>
    </w:rPr>
  </w:style>
  <w:style w:type="character" w:customStyle="1" w:styleId="UnresolvedMention1">
    <w:name w:val="Unresolved Mention1"/>
    <w:basedOn w:val="DefaultParagraphFont"/>
    <w:uiPriority w:val="99"/>
    <w:semiHidden/>
    <w:unhideWhenUsed/>
    <w:rsid w:val="005E37A3"/>
    <w:rPr>
      <w:color w:val="605E5C"/>
      <w:shd w:val="clear" w:color="auto" w:fill="E1DFDD"/>
    </w:rPr>
  </w:style>
  <w:style w:type="character" w:styleId="CommentReference">
    <w:name w:val="annotation reference"/>
    <w:basedOn w:val="DefaultParagraphFont"/>
    <w:uiPriority w:val="99"/>
    <w:semiHidden/>
    <w:unhideWhenUsed/>
    <w:rsid w:val="009F3643"/>
    <w:rPr>
      <w:sz w:val="16"/>
      <w:szCs w:val="16"/>
    </w:rPr>
  </w:style>
  <w:style w:type="paragraph" w:styleId="CommentText">
    <w:name w:val="annotation text"/>
    <w:basedOn w:val="Normal"/>
    <w:link w:val="CommentTextChar"/>
    <w:uiPriority w:val="99"/>
    <w:semiHidden/>
    <w:unhideWhenUsed/>
    <w:rsid w:val="009F3643"/>
    <w:rPr>
      <w:sz w:val="20"/>
      <w:szCs w:val="20"/>
    </w:rPr>
  </w:style>
  <w:style w:type="character" w:customStyle="1" w:styleId="CommentTextChar">
    <w:name w:val="Comment Text Char"/>
    <w:basedOn w:val="DefaultParagraphFont"/>
    <w:link w:val="CommentText"/>
    <w:uiPriority w:val="99"/>
    <w:semiHidden/>
    <w:rsid w:val="009F3643"/>
  </w:style>
  <w:style w:type="paragraph" w:styleId="CommentSubject">
    <w:name w:val="annotation subject"/>
    <w:basedOn w:val="CommentText"/>
    <w:next w:val="CommentText"/>
    <w:link w:val="CommentSubjectChar"/>
    <w:uiPriority w:val="99"/>
    <w:semiHidden/>
    <w:unhideWhenUsed/>
    <w:rsid w:val="009F3643"/>
    <w:rPr>
      <w:b/>
      <w:bCs/>
    </w:rPr>
  </w:style>
  <w:style w:type="character" w:customStyle="1" w:styleId="CommentSubjectChar">
    <w:name w:val="Comment Subject Char"/>
    <w:basedOn w:val="CommentTextChar"/>
    <w:link w:val="CommentSubject"/>
    <w:uiPriority w:val="99"/>
    <w:semiHidden/>
    <w:rsid w:val="009F3643"/>
    <w:rPr>
      <w:b/>
      <w:bCs/>
    </w:rPr>
  </w:style>
  <w:style w:type="paragraph" w:styleId="BalloonText">
    <w:name w:val="Balloon Text"/>
    <w:basedOn w:val="Normal"/>
    <w:link w:val="BalloonTextChar"/>
    <w:uiPriority w:val="99"/>
    <w:semiHidden/>
    <w:unhideWhenUsed/>
    <w:rsid w:val="009F3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43"/>
    <w:rPr>
      <w:rFonts w:ascii="Segoe UI" w:hAnsi="Segoe UI" w:cs="Segoe UI"/>
      <w:sz w:val="18"/>
      <w:szCs w:val="18"/>
    </w:rPr>
  </w:style>
  <w:style w:type="character" w:customStyle="1" w:styleId="footnotereference0">
    <w:name w:val="footnotereference"/>
    <w:basedOn w:val="DefaultParagraphFont"/>
    <w:rsid w:val="005D5DE8"/>
  </w:style>
  <w:style w:type="character" w:customStyle="1" w:styleId="Heading1Char">
    <w:name w:val="Heading 1 Char"/>
    <w:basedOn w:val="DefaultParagraphFont"/>
    <w:link w:val="Heading1"/>
    <w:uiPriority w:val="9"/>
    <w:rsid w:val="00A46811"/>
    <w:rPr>
      <w:b/>
      <w:bCs/>
      <w:kern w:val="36"/>
      <w:sz w:val="48"/>
      <w:szCs w:val="48"/>
    </w:rPr>
  </w:style>
  <w:style w:type="character" w:customStyle="1" w:styleId="Heading2Char">
    <w:name w:val="Heading 2 Char"/>
    <w:basedOn w:val="DefaultParagraphFont"/>
    <w:link w:val="Heading2"/>
    <w:uiPriority w:val="9"/>
    <w:rsid w:val="00A46811"/>
    <w:rPr>
      <w:b/>
      <w:bCs/>
      <w:sz w:val="36"/>
      <w:szCs w:val="36"/>
    </w:rPr>
  </w:style>
  <w:style w:type="paragraph" w:styleId="NormalWeb">
    <w:name w:val="Normal (Web)"/>
    <w:basedOn w:val="Normal"/>
    <w:uiPriority w:val="99"/>
    <w:semiHidden/>
    <w:unhideWhenUsed/>
    <w:rsid w:val="00A46811"/>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A468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6811"/>
    <w:rPr>
      <w:rFonts w:ascii="Arial" w:hAnsi="Arial" w:cs="Arial"/>
      <w:vanish/>
      <w:sz w:val="16"/>
      <w:szCs w:val="16"/>
    </w:rPr>
  </w:style>
  <w:style w:type="character" w:customStyle="1" w:styleId="optional">
    <w:name w:val="optional"/>
    <w:basedOn w:val="DefaultParagraphFont"/>
    <w:rsid w:val="00A46811"/>
  </w:style>
  <w:style w:type="paragraph" w:styleId="z-BottomofForm">
    <w:name w:val="HTML Bottom of Form"/>
    <w:basedOn w:val="Normal"/>
    <w:next w:val="Normal"/>
    <w:link w:val="z-BottomofFormChar"/>
    <w:hidden/>
    <w:uiPriority w:val="99"/>
    <w:semiHidden/>
    <w:unhideWhenUsed/>
    <w:rsid w:val="00A468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6811"/>
    <w:rPr>
      <w:rFonts w:ascii="Arial" w:hAnsi="Arial" w:cs="Arial"/>
      <w:vanish/>
      <w:sz w:val="16"/>
      <w:szCs w:val="16"/>
    </w:rPr>
  </w:style>
  <w:style w:type="paragraph" w:customStyle="1" w:styleId="center">
    <w:name w:val="center"/>
    <w:basedOn w:val="Normal"/>
    <w:rsid w:val="00A46811"/>
    <w:pPr>
      <w:spacing w:before="100" w:beforeAutospacing="1" w:after="100" w:afterAutospacing="1"/>
    </w:pPr>
  </w:style>
  <w:style w:type="character" w:styleId="UnresolvedMention">
    <w:name w:val="Unresolved Mention"/>
    <w:basedOn w:val="DefaultParagraphFont"/>
    <w:uiPriority w:val="99"/>
    <w:semiHidden/>
    <w:unhideWhenUsed/>
    <w:rsid w:val="00A46811"/>
    <w:rPr>
      <w:color w:val="605E5C"/>
      <w:shd w:val="clear" w:color="auto" w:fill="E1DFDD"/>
    </w:rPr>
  </w:style>
  <w:style w:type="character" w:styleId="FollowedHyperlink">
    <w:name w:val="FollowedHyperlink"/>
    <w:basedOn w:val="DefaultParagraphFont"/>
    <w:uiPriority w:val="99"/>
    <w:semiHidden/>
    <w:unhideWhenUsed/>
    <w:rsid w:val="002135FA"/>
    <w:rPr>
      <w:color w:val="954F72" w:themeColor="followedHyperlink"/>
      <w:u w:val="single"/>
    </w:rPr>
  </w:style>
  <w:style w:type="character" w:customStyle="1" w:styleId="Heading3Char">
    <w:name w:val="Heading 3 Char"/>
    <w:basedOn w:val="DefaultParagraphFont"/>
    <w:link w:val="Heading3"/>
    <w:rsid w:val="0086745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704AE"/>
    <w:rPr>
      <w:b/>
      <w:bCs/>
    </w:rPr>
  </w:style>
  <w:style w:type="paragraph" w:styleId="EndnoteText">
    <w:name w:val="endnote text"/>
    <w:basedOn w:val="Normal"/>
    <w:link w:val="EndnoteTextChar"/>
    <w:uiPriority w:val="99"/>
    <w:semiHidden/>
    <w:unhideWhenUsed/>
    <w:rsid w:val="00DE1C21"/>
    <w:rPr>
      <w:sz w:val="20"/>
      <w:szCs w:val="20"/>
    </w:rPr>
  </w:style>
  <w:style w:type="character" w:customStyle="1" w:styleId="EndnoteTextChar">
    <w:name w:val="Endnote Text Char"/>
    <w:basedOn w:val="DefaultParagraphFont"/>
    <w:link w:val="EndnoteText"/>
    <w:uiPriority w:val="99"/>
    <w:semiHidden/>
    <w:rsid w:val="00DE1C21"/>
  </w:style>
  <w:style w:type="character" w:styleId="EndnoteReference">
    <w:name w:val="endnote reference"/>
    <w:basedOn w:val="DefaultParagraphFont"/>
    <w:uiPriority w:val="99"/>
    <w:semiHidden/>
    <w:unhideWhenUsed/>
    <w:rsid w:val="00DE1C21"/>
    <w:rPr>
      <w:vertAlign w:val="superscript"/>
    </w:rPr>
  </w:style>
  <w:style w:type="paragraph" w:styleId="Header">
    <w:name w:val="header"/>
    <w:basedOn w:val="Normal"/>
    <w:link w:val="HeaderChar"/>
    <w:uiPriority w:val="99"/>
    <w:unhideWhenUsed/>
    <w:rsid w:val="00EC2FC3"/>
    <w:pPr>
      <w:tabs>
        <w:tab w:val="center" w:pos="4680"/>
        <w:tab w:val="right" w:pos="9360"/>
      </w:tabs>
    </w:pPr>
  </w:style>
  <w:style w:type="character" w:customStyle="1" w:styleId="HeaderChar">
    <w:name w:val="Header Char"/>
    <w:basedOn w:val="DefaultParagraphFont"/>
    <w:link w:val="Header"/>
    <w:uiPriority w:val="99"/>
    <w:rsid w:val="00EC2FC3"/>
    <w:rPr>
      <w:sz w:val="24"/>
      <w:szCs w:val="24"/>
    </w:rPr>
  </w:style>
  <w:style w:type="paragraph" w:styleId="Footer">
    <w:name w:val="footer"/>
    <w:basedOn w:val="Normal"/>
    <w:link w:val="FooterChar"/>
    <w:uiPriority w:val="99"/>
    <w:unhideWhenUsed/>
    <w:rsid w:val="00EC2FC3"/>
    <w:pPr>
      <w:tabs>
        <w:tab w:val="center" w:pos="4680"/>
        <w:tab w:val="right" w:pos="9360"/>
      </w:tabs>
    </w:pPr>
  </w:style>
  <w:style w:type="character" w:customStyle="1" w:styleId="FooterChar">
    <w:name w:val="Footer Char"/>
    <w:basedOn w:val="DefaultParagraphFont"/>
    <w:link w:val="Footer"/>
    <w:uiPriority w:val="99"/>
    <w:rsid w:val="00EC2FC3"/>
    <w:rPr>
      <w:sz w:val="24"/>
      <w:szCs w:val="24"/>
    </w:rPr>
  </w:style>
  <w:style w:type="character" w:customStyle="1" w:styleId="value">
    <w:name w:val="value"/>
    <w:basedOn w:val="DefaultParagraphFont"/>
    <w:rsid w:val="00FC34C9"/>
  </w:style>
  <w:style w:type="character" w:customStyle="1" w:styleId="hh">
    <w:name w:val="hh"/>
    <w:basedOn w:val="DefaultParagraphFont"/>
    <w:rsid w:val="006F0C56"/>
  </w:style>
  <w:style w:type="character" w:customStyle="1" w:styleId="ng-star-inserted">
    <w:name w:val="ng-star-inserted"/>
    <w:basedOn w:val="DefaultParagraphFont"/>
    <w:rsid w:val="006F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0743">
      <w:bodyDiv w:val="1"/>
      <w:marLeft w:val="0"/>
      <w:marRight w:val="0"/>
      <w:marTop w:val="0"/>
      <w:marBottom w:val="0"/>
      <w:divBdr>
        <w:top w:val="none" w:sz="0" w:space="0" w:color="auto"/>
        <w:left w:val="none" w:sz="0" w:space="0" w:color="auto"/>
        <w:bottom w:val="none" w:sz="0" w:space="0" w:color="auto"/>
        <w:right w:val="none" w:sz="0" w:space="0" w:color="auto"/>
      </w:divBdr>
    </w:div>
    <w:div w:id="282271567">
      <w:bodyDiv w:val="1"/>
      <w:marLeft w:val="0"/>
      <w:marRight w:val="0"/>
      <w:marTop w:val="0"/>
      <w:marBottom w:val="0"/>
      <w:divBdr>
        <w:top w:val="none" w:sz="0" w:space="0" w:color="auto"/>
        <w:left w:val="none" w:sz="0" w:space="0" w:color="auto"/>
        <w:bottom w:val="none" w:sz="0" w:space="0" w:color="auto"/>
        <w:right w:val="none" w:sz="0" w:space="0" w:color="auto"/>
      </w:divBdr>
    </w:div>
    <w:div w:id="479619181">
      <w:bodyDiv w:val="1"/>
      <w:marLeft w:val="0"/>
      <w:marRight w:val="0"/>
      <w:marTop w:val="0"/>
      <w:marBottom w:val="0"/>
      <w:divBdr>
        <w:top w:val="none" w:sz="0" w:space="0" w:color="auto"/>
        <w:left w:val="none" w:sz="0" w:space="0" w:color="auto"/>
        <w:bottom w:val="none" w:sz="0" w:space="0" w:color="auto"/>
        <w:right w:val="none" w:sz="0" w:space="0" w:color="auto"/>
      </w:divBdr>
    </w:div>
    <w:div w:id="588929934">
      <w:bodyDiv w:val="1"/>
      <w:marLeft w:val="0"/>
      <w:marRight w:val="0"/>
      <w:marTop w:val="0"/>
      <w:marBottom w:val="0"/>
      <w:divBdr>
        <w:top w:val="none" w:sz="0" w:space="0" w:color="auto"/>
        <w:left w:val="none" w:sz="0" w:space="0" w:color="auto"/>
        <w:bottom w:val="none" w:sz="0" w:space="0" w:color="auto"/>
        <w:right w:val="none" w:sz="0" w:space="0" w:color="auto"/>
      </w:divBdr>
      <w:divsChild>
        <w:div w:id="1878003640">
          <w:marLeft w:val="0"/>
          <w:marRight w:val="0"/>
          <w:marTop w:val="0"/>
          <w:marBottom w:val="0"/>
          <w:divBdr>
            <w:top w:val="none" w:sz="0" w:space="0" w:color="auto"/>
            <w:left w:val="none" w:sz="0" w:space="0" w:color="auto"/>
            <w:bottom w:val="none" w:sz="0" w:space="0" w:color="auto"/>
            <w:right w:val="none" w:sz="0" w:space="0" w:color="auto"/>
          </w:divBdr>
        </w:div>
      </w:divsChild>
    </w:div>
    <w:div w:id="1056197823">
      <w:bodyDiv w:val="1"/>
      <w:marLeft w:val="0"/>
      <w:marRight w:val="0"/>
      <w:marTop w:val="0"/>
      <w:marBottom w:val="0"/>
      <w:divBdr>
        <w:top w:val="none" w:sz="0" w:space="0" w:color="auto"/>
        <w:left w:val="none" w:sz="0" w:space="0" w:color="auto"/>
        <w:bottom w:val="none" w:sz="0" w:space="0" w:color="auto"/>
        <w:right w:val="none" w:sz="0" w:space="0" w:color="auto"/>
      </w:divBdr>
      <w:divsChild>
        <w:div w:id="300774371">
          <w:marLeft w:val="750"/>
          <w:marRight w:val="0"/>
          <w:marTop w:val="0"/>
          <w:marBottom w:val="0"/>
          <w:divBdr>
            <w:top w:val="none" w:sz="0" w:space="0" w:color="auto"/>
            <w:left w:val="none" w:sz="0" w:space="0" w:color="auto"/>
            <w:bottom w:val="none" w:sz="0" w:space="0" w:color="auto"/>
            <w:right w:val="none" w:sz="0" w:space="0" w:color="auto"/>
          </w:divBdr>
        </w:div>
        <w:div w:id="483666890">
          <w:marLeft w:val="0"/>
          <w:marRight w:val="0"/>
          <w:marTop w:val="645"/>
          <w:marBottom w:val="0"/>
          <w:divBdr>
            <w:top w:val="none" w:sz="0" w:space="0" w:color="auto"/>
            <w:left w:val="none" w:sz="0" w:space="0" w:color="auto"/>
            <w:bottom w:val="none" w:sz="0" w:space="0" w:color="auto"/>
            <w:right w:val="none" w:sz="0" w:space="0" w:color="auto"/>
          </w:divBdr>
          <w:divsChild>
            <w:div w:id="901909912">
              <w:marLeft w:val="150"/>
              <w:marRight w:val="150"/>
              <w:marTop w:val="0"/>
              <w:marBottom w:val="150"/>
              <w:divBdr>
                <w:top w:val="none" w:sz="0" w:space="0" w:color="auto"/>
                <w:left w:val="none" w:sz="0" w:space="0" w:color="auto"/>
                <w:bottom w:val="none" w:sz="0" w:space="0" w:color="auto"/>
                <w:right w:val="none" w:sz="0" w:space="0" w:color="auto"/>
              </w:divBdr>
              <w:divsChild>
                <w:div w:id="1896428721">
                  <w:marLeft w:val="150"/>
                  <w:marRight w:val="0"/>
                  <w:marTop w:val="0"/>
                  <w:marBottom w:val="240"/>
                  <w:divBdr>
                    <w:top w:val="none" w:sz="0" w:space="0" w:color="auto"/>
                    <w:left w:val="none" w:sz="0" w:space="0" w:color="auto"/>
                    <w:bottom w:val="none" w:sz="0" w:space="0" w:color="auto"/>
                    <w:right w:val="none" w:sz="0" w:space="0" w:color="auto"/>
                  </w:divBdr>
                </w:div>
                <w:div w:id="1961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658">
          <w:marLeft w:val="750"/>
          <w:marRight w:val="0"/>
          <w:marTop w:val="45"/>
          <w:marBottom w:val="0"/>
          <w:divBdr>
            <w:top w:val="none" w:sz="0" w:space="0" w:color="auto"/>
            <w:left w:val="none" w:sz="0" w:space="0" w:color="auto"/>
            <w:bottom w:val="none" w:sz="0" w:space="0" w:color="auto"/>
            <w:right w:val="none" w:sz="0" w:space="0" w:color="auto"/>
          </w:divBdr>
          <w:divsChild>
            <w:div w:id="1985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8442">
      <w:bodyDiv w:val="1"/>
      <w:marLeft w:val="0"/>
      <w:marRight w:val="0"/>
      <w:marTop w:val="0"/>
      <w:marBottom w:val="0"/>
      <w:divBdr>
        <w:top w:val="none" w:sz="0" w:space="0" w:color="auto"/>
        <w:left w:val="none" w:sz="0" w:space="0" w:color="auto"/>
        <w:bottom w:val="none" w:sz="0" w:space="0" w:color="auto"/>
        <w:right w:val="none" w:sz="0" w:space="0" w:color="auto"/>
      </w:divBdr>
    </w:div>
    <w:div w:id="1708020543">
      <w:bodyDiv w:val="1"/>
      <w:marLeft w:val="0"/>
      <w:marRight w:val="0"/>
      <w:marTop w:val="0"/>
      <w:marBottom w:val="0"/>
      <w:divBdr>
        <w:top w:val="none" w:sz="0" w:space="0" w:color="auto"/>
        <w:left w:val="none" w:sz="0" w:space="0" w:color="auto"/>
        <w:bottom w:val="none" w:sz="0" w:space="0" w:color="auto"/>
        <w:right w:val="none" w:sz="0" w:space="0" w:color="auto"/>
      </w:divBdr>
      <w:divsChild>
        <w:div w:id="1731272592">
          <w:marLeft w:val="0"/>
          <w:marRight w:val="0"/>
          <w:marTop w:val="0"/>
          <w:marBottom w:val="0"/>
          <w:divBdr>
            <w:top w:val="none" w:sz="0" w:space="0" w:color="auto"/>
            <w:left w:val="none" w:sz="0" w:space="0" w:color="auto"/>
            <w:bottom w:val="none" w:sz="0" w:space="0" w:color="auto"/>
            <w:right w:val="none" w:sz="0" w:space="0" w:color="auto"/>
          </w:divBdr>
        </w:div>
        <w:div w:id="2039118702">
          <w:marLeft w:val="0"/>
          <w:marRight w:val="0"/>
          <w:marTop w:val="0"/>
          <w:marBottom w:val="0"/>
          <w:divBdr>
            <w:top w:val="none" w:sz="0" w:space="0" w:color="auto"/>
            <w:left w:val="none" w:sz="0" w:space="0" w:color="auto"/>
            <w:bottom w:val="none" w:sz="0" w:space="0" w:color="auto"/>
            <w:right w:val="none" w:sz="0" w:space="0" w:color="auto"/>
          </w:divBdr>
        </w:div>
      </w:divsChild>
    </w:div>
    <w:div w:id="21072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stor.org/stable/12897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66D3-BBBD-46CC-95E9-858F14F0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Grofman</dc:creator>
  <cp:keywords/>
  <dc:description/>
  <cp:lastModifiedBy>Rick Hasen</cp:lastModifiedBy>
  <cp:revision>3</cp:revision>
  <dcterms:created xsi:type="dcterms:W3CDTF">2021-08-23T02:58:00Z</dcterms:created>
  <dcterms:modified xsi:type="dcterms:W3CDTF">2021-08-23T02:59:00Z</dcterms:modified>
</cp:coreProperties>
</file>