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8A" w:rsidRDefault="00CA0B8A" w:rsidP="00CA0B8A">
      <w:pPr>
        <w:pStyle w:val="normal0"/>
        <w:tabs>
          <w:tab w:val="right" w:pos="9360"/>
        </w:tabs>
      </w:pPr>
      <w:r>
        <w:rPr>
          <w:noProof/>
        </w:rPr>
        <w:drawing>
          <wp:inline distT="0" distB="0" distL="0" distR="0">
            <wp:extent cx="2215192" cy="617349"/>
            <wp:effectExtent l="19050" t="0" r="0" b="0"/>
            <wp:docPr id="1" name="Picture 0" descr="PC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740" cy="61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CA0B8A">
        <w:rPr>
          <w:b/>
          <w:sz w:val="28"/>
          <w:szCs w:val="28"/>
        </w:rPr>
        <w:t>MEDIA ADVISORY</w:t>
      </w:r>
    </w:p>
    <w:p w:rsidR="00CA0B8A" w:rsidRPr="00CA0B8A" w:rsidRDefault="00CA0B8A" w:rsidP="00CA0B8A">
      <w:pPr>
        <w:pStyle w:val="normal0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CA0B8A" w:rsidRPr="00CA0B8A" w:rsidRDefault="00CA0B8A" w:rsidP="00CA0B8A">
      <w:pPr>
        <w:pStyle w:val="normal0"/>
        <w:rPr>
          <w:sz w:val="20"/>
          <w:szCs w:val="20"/>
        </w:rPr>
      </w:pPr>
    </w:p>
    <w:p w:rsidR="00CA0B8A" w:rsidRPr="00CA0B8A" w:rsidRDefault="00CA0B8A" w:rsidP="00CA0B8A">
      <w:pPr>
        <w:pStyle w:val="normal0"/>
        <w:tabs>
          <w:tab w:val="right" w:pos="9360"/>
        </w:tabs>
        <w:rPr>
          <w:sz w:val="20"/>
          <w:szCs w:val="20"/>
        </w:rPr>
      </w:pPr>
      <w:r w:rsidRPr="00CA0B8A">
        <w:rPr>
          <w:sz w:val="20"/>
          <w:szCs w:val="20"/>
        </w:rPr>
        <w:t>For Planning Purp</w:t>
      </w:r>
      <w:r>
        <w:rPr>
          <w:sz w:val="20"/>
          <w:szCs w:val="20"/>
        </w:rPr>
        <w:t>oses</w:t>
      </w:r>
      <w:r>
        <w:rPr>
          <w:sz w:val="20"/>
          <w:szCs w:val="20"/>
        </w:rPr>
        <w:tab/>
      </w:r>
      <w:r w:rsidRPr="00CA0B8A">
        <w:rPr>
          <w:sz w:val="20"/>
          <w:szCs w:val="20"/>
        </w:rPr>
        <w:t>Contact:</w:t>
      </w:r>
      <w:r w:rsidR="00FE2A0B">
        <w:rPr>
          <w:sz w:val="20"/>
          <w:szCs w:val="20"/>
        </w:rPr>
        <w:t xml:space="preserve"> </w:t>
      </w:r>
      <w:r w:rsidRPr="00CA0B8A">
        <w:rPr>
          <w:sz w:val="20"/>
          <w:szCs w:val="20"/>
        </w:rPr>
        <w:t>Greg Romano, 202-219-1084</w:t>
      </w:r>
    </w:p>
    <w:p w:rsidR="00CA0B8A" w:rsidRPr="00CA0B8A" w:rsidRDefault="00FE2A0B" w:rsidP="00CA0B8A">
      <w:pPr>
        <w:pStyle w:val="normal0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June 7</w:t>
      </w:r>
      <w:r w:rsidR="00CA0B8A">
        <w:rPr>
          <w:sz w:val="20"/>
          <w:szCs w:val="20"/>
        </w:rPr>
        <w:t>, 2013</w:t>
      </w:r>
      <w:r w:rsidR="00CA0B8A" w:rsidRPr="00CA0B8A">
        <w:rPr>
          <w:sz w:val="20"/>
          <w:szCs w:val="20"/>
        </w:rPr>
        <w:tab/>
      </w:r>
      <w:hyperlink r:id="rId6" w:history="1">
        <w:r w:rsidR="00CA0B8A" w:rsidRPr="00B252BE">
          <w:rPr>
            <w:rStyle w:val="Hyperlink"/>
            <w:sz w:val="20"/>
            <w:szCs w:val="20"/>
          </w:rPr>
          <w:t>Greg.Romano@supportthevoter.gov</w:t>
        </w:r>
      </w:hyperlink>
    </w:p>
    <w:p w:rsidR="00CA0B8A" w:rsidRPr="00CA0B8A" w:rsidRDefault="00CA0B8A" w:rsidP="00CA0B8A">
      <w:pPr>
        <w:pStyle w:val="normal0"/>
        <w:rPr>
          <w:sz w:val="20"/>
          <w:szCs w:val="20"/>
        </w:rPr>
      </w:pPr>
    </w:p>
    <w:p w:rsidR="00CA0B8A" w:rsidRPr="00CA0B8A" w:rsidRDefault="00CA0B8A" w:rsidP="00CA0B8A">
      <w:pPr>
        <w:pStyle w:val="normal0"/>
        <w:spacing w:line="262" w:lineRule="auto"/>
        <w:jc w:val="center"/>
        <w:rPr>
          <w:sz w:val="20"/>
          <w:szCs w:val="20"/>
        </w:rPr>
      </w:pPr>
      <w:r w:rsidRPr="00CA0B8A">
        <w:rPr>
          <w:b/>
          <w:sz w:val="20"/>
          <w:szCs w:val="20"/>
        </w:rPr>
        <w:t>Fi</w:t>
      </w:r>
      <w:r w:rsidR="00577DF8">
        <w:rPr>
          <w:b/>
          <w:sz w:val="20"/>
          <w:szCs w:val="20"/>
        </w:rPr>
        <w:t>rst Public Meeting of Presidential</w:t>
      </w:r>
      <w:r w:rsidRPr="00CA0B8A">
        <w:rPr>
          <w:b/>
          <w:sz w:val="20"/>
          <w:szCs w:val="20"/>
        </w:rPr>
        <w:t xml:space="preserve"> Commission on Election Administration Set</w:t>
      </w:r>
    </w:p>
    <w:p w:rsidR="00CA0B8A" w:rsidRPr="00CA0B8A" w:rsidRDefault="00CA0B8A" w:rsidP="00CA0B8A">
      <w:pPr>
        <w:pStyle w:val="normal0"/>
        <w:spacing w:line="262" w:lineRule="auto"/>
        <w:jc w:val="center"/>
        <w:rPr>
          <w:sz w:val="20"/>
          <w:szCs w:val="20"/>
        </w:rPr>
      </w:pPr>
      <w:r w:rsidRPr="00CA0B8A">
        <w:rPr>
          <w:b/>
          <w:sz w:val="20"/>
          <w:szCs w:val="20"/>
        </w:rPr>
        <w:t xml:space="preserve"> </w:t>
      </w:r>
    </w:p>
    <w:p w:rsidR="00CA0B8A" w:rsidRPr="00CA0B8A" w:rsidRDefault="00CA0B8A" w:rsidP="00CA0B8A">
      <w:pPr>
        <w:pStyle w:val="normal0"/>
        <w:rPr>
          <w:sz w:val="20"/>
          <w:szCs w:val="20"/>
        </w:rPr>
      </w:pPr>
      <w:r w:rsidRPr="00CA0B8A">
        <w:rPr>
          <w:sz w:val="20"/>
          <w:szCs w:val="20"/>
        </w:rPr>
        <w:t>WASHINGTON – The first public meeting of the President</w:t>
      </w:r>
      <w:r w:rsidR="00577DF8">
        <w:rPr>
          <w:sz w:val="20"/>
          <w:szCs w:val="20"/>
        </w:rPr>
        <w:t>ial</w:t>
      </w:r>
      <w:r w:rsidRPr="00CA0B8A">
        <w:rPr>
          <w:sz w:val="20"/>
          <w:szCs w:val="20"/>
        </w:rPr>
        <w:t xml:space="preserve"> Commission on Election Administration will be held Friday, June 21, from 8:30 a.m. to noon at the headquarters of the U.S. General Services Administration in Washington, D.C.</w:t>
      </w:r>
      <w:r>
        <w:rPr>
          <w:sz w:val="20"/>
          <w:szCs w:val="20"/>
        </w:rPr>
        <w:t xml:space="preserve"> </w:t>
      </w:r>
      <w:r w:rsidRPr="00CA0B8A">
        <w:rPr>
          <w:sz w:val="20"/>
          <w:szCs w:val="20"/>
        </w:rPr>
        <w:t>This will be the first opportunity for the public to learn about the Commission</w:t>
      </w:r>
      <w:r w:rsidR="00991A5A">
        <w:rPr>
          <w:sz w:val="20"/>
          <w:szCs w:val="20"/>
        </w:rPr>
        <w:t>’</w:t>
      </w:r>
      <w:r w:rsidRPr="00CA0B8A">
        <w:rPr>
          <w:sz w:val="20"/>
          <w:szCs w:val="20"/>
        </w:rPr>
        <w:t xml:space="preserve">s goals, process and schedule for achieving the President’s requirements set in Executive Order 13639. </w:t>
      </w:r>
    </w:p>
    <w:p w:rsidR="00CA0B8A" w:rsidRPr="00CA0B8A" w:rsidRDefault="00CA0B8A" w:rsidP="00CA0B8A">
      <w:pPr>
        <w:pStyle w:val="normal0"/>
        <w:rPr>
          <w:sz w:val="20"/>
          <w:szCs w:val="20"/>
        </w:rPr>
      </w:pPr>
      <w:r w:rsidRPr="00CA0B8A">
        <w:rPr>
          <w:sz w:val="20"/>
          <w:szCs w:val="20"/>
        </w:rPr>
        <w:t xml:space="preserve"> </w:t>
      </w:r>
    </w:p>
    <w:p w:rsidR="00CA0B8A" w:rsidRDefault="00CA0B8A" w:rsidP="00CA0B8A">
      <w:pPr>
        <w:pStyle w:val="normal0"/>
        <w:ind w:left="900" w:hanging="900"/>
        <w:rPr>
          <w:sz w:val="20"/>
          <w:szCs w:val="20"/>
        </w:rPr>
      </w:pPr>
      <w:r w:rsidRPr="00CA0B8A">
        <w:rPr>
          <w:b/>
          <w:sz w:val="20"/>
          <w:szCs w:val="20"/>
        </w:rPr>
        <w:t>WHAT:</w:t>
      </w:r>
      <w:r w:rsidRPr="00CA0B8A">
        <w:rPr>
          <w:sz w:val="20"/>
          <w:szCs w:val="20"/>
        </w:rPr>
        <w:tab/>
        <w:t>Commissioners will discuss, consider and adopt a plan and schedule for the collection of data and information needed by the Commission to meet its obligations under the Executive O</w:t>
      </w:r>
      <w:r>
        <w:rPr>
          <w:sz w:val="20"/>
          <w:szCs w:val="20"/>
        </w:rPr>
        <w:t>rder</w:t>
      </w:r>
      <w:r w:rsidR="00991A5A">
        <w:rPr>
          <w:sz w:val="20"/>
          <w:szCs w:val="20"/>
        </w:rPr>
        <w:t>.</w:t>
      </w:r>
      <w:r>
        <w:rPr>
          <w:sz w:val="20"/>
          <w:szCs w:val="20"/>
        </w:rPr>
        <w:t xml:space="preserve">  Preliminary Agenda:</w:t>
      </w:r>
    </w:p>
    <w:p w:rsidR="00CA0B8A" w:rsidRPr="00CA0B8A" w:rsidRDefault="00CA0B8A" w:rsidP="00CA0B8A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CA0B8A">
        <w:rPr>
          <w:sz w:val="20"/>
          <w:szCs w:val="20"/>
        </w:rPr>
        <w:t>Introductions and Statement of Plan for the Meeting</w:t>
      </w:r>
    </w:p>
    <w:p w:rsidR="00CA0B8A" w:rsidRPr="00CA0B8A" w:rsidRDefault="00CA0B8A" w:rsidP="00CA0B8A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CA0B8A">
        <w:rPr>
          <w:sz w:val="20"/>
          <w:szCs w:val="20"/>
        </w:rPr>
        <w:t>Ceremonial Swearing In of Commission Members</w:t>
      </w:r>
    </w:p>
    <w:p w:rsidR="00CA0B8A" w:rsidRPr="00CA0B8A" w:rsidRDefault="00CA0B8A" w:rsidP="00CA0B8A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CA0B8A">
        <w:rPr>
          <w:sz w:val="20"/>
          <w:szCs w:val="20"/>
        </w:rPr>
        <w:t>Dates, Locations and Formats for Public Meetings</w:t>
      </w:r>
    </w:p>
    <w:p w:rsidR="00CA0B8A" w:rsidRPr="00CA0B8A" w:rsidRDefault="00CA0B8A" w:rsidP="00CA0B8A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CA0B8A">
        <w:rPr>
          <w:sz w:val="20"/>
          <w:szCs w:val="20"/>
        </w:rPr>
        <w:t>Areas of Research Focus</w:t>
      </w:r>
    </w:p>
    <w:p w:rsidR="00CA0B8A" w:rsidRPr="00CA0B8A" w:rsidRDefault="00CA0B8A" w:rsidP="00CA0B8A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CA0B8A">
        <w:rPr>
          <w:sz w:val="20"/>
          <w:szCs w:val="20"/>
        </w:rPr>
        <w:t>Uses of the Commission Website</w:t>
      </w:r>
    </w:p>
    <w:p w:rsidR="00CA0B8A" w:rsidRPr="00CA0B8A" w:rsidRDefault="00CA0B8A" w:rsidP="00CA0B8A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CA0B8A">
        <w:rPr>
          <w:sz w:val="20"/>
          <w:szCs w:val="20"/>
        </w:rPr>
        <w:t>Next Steps for the Commission</w:t>
      </w:r>
    </w:p>
    <w:p w:rsidR="00CA0B8A" w:rsidRPr="00CA0B8A" w:rsidRDefault="00CA0B8A" w:rsidP="00CA0B8A">
      <w:pPr>
        <w:pStyle w:val="normal0"/>
        <w:rPr>
          <w:sz w:val="20"/>
          <w:szCs w:val="20"/>
        </w:rPr>
      </w:pPr>
    </w:p>
    <w:p w:rsidR="00CA0B8A" w:rsidRPr="00CA0B8A" w:rsidRDefault="00CA0B8A" w:rsidP="00CA0B8A">
      <w:pPr>
        <w:pStyle w:val="normal0"/>
        <w:spacing w:line="262" w:lineRule="auto"/>
        <w:ind w:left="900" w:hanging="900"/>
        <w:rPr>
          <w:sz w:val="20"/>
          <w:szCs w:val="20"/>
        </w:rPr>
      </w:pPr>
      <w:r w:rsidRPr="00CA0B8A">
        <w:rPr>
          <w:b/>
          <w:sz w:val="20"/>
          <w:szCs w:val="20"/>
        </w:rPr>
        <w:t>WHEN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CA0B8A">
        <w:rPr>
          <w:sz w:val="20"/>
          <w:szCs w:val="20"/>
        </w:rPr>
        <w:t>Friday, June 21, 2013, 8:30 a.m. - Noon</w:t>
      </w:r>
    </w:p>
    <w:p w:rsidR="00CA0B8A" w:rsidRPr="00CA0B8A" w:rsidRDefault="00CA0B8A" w:rsidP="00CA0B8A">
      <w:pPr>
        <w:pStyle w:val="normal0"/>
        <w:spacing w:line="262" w:lineRule="auto"/>
        <w:ind w:left="900" w:hanging="900"/>
        <w:rPr>
          <w:sz w:val="20"/>
          <w:szCs w:val="20"/>
        </w:rPr>
      </w:pPr>
      <w:r w:rsidRPr="00CA0B8A">
        <w:rPr>
          <w:b/>
          <w:sz w:val="20"/>
          <w:szCs w:val="20"/>
        </w:rPr>
        <w:t xml:space="preserve"> </w:t>
      </w:r>
    </w:p>
    <w:p w:rsidR="00CA0B8A" w:rsidRPr="00CA0B8A" w:rsidRDefault="00CA0B8A" w:rsidP="00CA0B8A">
      <w:pPr>
        <w:pStyle w:val="normal0"/>
        <w:spacing w:line="262" w:lineRule="auto"/>
        <w:ind w:left="900" w:hanging="900"/>
        <w:rPr>
          <w:sz w:val="20"/>
          <w:szCs w:val="20"/>
        </w:rPr>
      </w:pPr>
      <w:r w:rsidRPr="00CA0B8A">
        <w:rPr>
          <w:b/>
          <w:sz w:val="20"/>
          <w:szCs w:val="20"/>
        </w:rPr>
        <w:t>WHERE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A0B8A">
        <w:rPr>
          <w:sz w:val="20"/>
          <w:szCs w:val="20"/>
        </w:rPr>
        <w:t>U.S. General Services Administration -- Auditorium</w:t>
      </w:r>
    </w:p>
    <w:p w:rsidR="00CA0B8A" w:rsidRPr="00CA0B8A" w:rsidRDefault="00CA0B8A" w:rsidP="00CA0B8A">
      <w:pPr>
        <w:pStyle w:val="normal0"/>
        <w:spacing w:line="262" w:lineRule="auto"/>
        <w:ind w:left="900"/>
        <w:rPr>
          <w:sz w:val="20"/>
          <w:szCs w:val="20"/>
        </w:rPr>
      </w:pPr>
      <w:r w:rsidRPr="00CA0B8A">
        <w:rPr>
          <w:sz w:val="20"/>
          <w:szCs w:val="20"/>
        </w:rPr>
        <w:t>1800 F. Street, NW, Washington, D</w:t>
      </w:r>
      <w:r w:rsidR="00991A5A">
        <w:rPr>
          <w:sz w:val="20"/>
          <w:szCs w:val="20"/>
        </w:rPr>
        <w:t>C</w:t>
      </w:r>
      <w:r w:rsidRPr="00CA0B8A">
        <w:rPr>
          <w:sz w:val="20"/>
          <w:szCs w:val="20"/>
        </w:rPr>
        <w:t xml:space="preserve"> 20405</w:t>
      </w:r>
    </w:p>
    <w:p w:rsidR="00CA0B8A" w:rsidRPr="00CA0B8A" w:rsidRDefault="00CA0B8A" w:rsidP="00CA0B8A">
      <w:pPr>
        <w:pStyle w:val="normal0"/>
        <w:spacing w:line="262" w:lineRule="auto"/>
        <w:ind w:left="900" w:hanging="900"/>
        <w:rPr>
          <w:sz w:val="20"/>
          <w:szCs w:val="20"/>
        </w:rPr>
      </w:pPr>
      <w:r w:rsidRPr="00CA0B8A">
        <w:rPr>
          <w:sz w:val="20"/>
          <w:szCs w:val="20"/>
        </w:rPr>
        <w:t xml:space="preserve"> </w:t>
      </w:r>
    </w:p>
    <w:p w:rsidR="00CA0B8A" w:rsidRPr="00CA0B8A" w:rsidRDefault="00CA0B8A" w:rsidP="00CA0B8A">
      <w:pPr>
        <w:pStyle w:val="normal0"/>
        <w:ind w:left="900" w:hanging="900"/>
        <w:rPr>
          <w:sz w:val="20"/>
          <w:szCs w:val="20"/>
        </w:rPr>
      </w:pPr>
      <w:bookmarkStart w:id="0" w:name="h.heowyzfng2aa" w:colFirst="0" w:colLast="0"/>
      <w:bookmarkEnd w:id="0"/>
      <w:r w:rsidRPr="00CA0B8A">
        <w:rPr>
          <w:b/>
          <w:sz w:val="20"/>
          <w:szCs w:val="20"/>
        </w:rPr>
        <w:t xml:space="preserve">WHO: </w:t>
      </w:r>
      <w:r>
        <w:rPr>
          <w:b/>
          <w:sz w:val="20"/>
          <w:szCs w:val="20"/>
        </w:rPr>
        <w:tab/>
      </w:r>
      <w:r w:rsidRPr="00CA0B8A">
        <w:rPr>
          <w:sz w:val="20"/>
          <w:szCs w:val="20"/>
          <w:u w:val="single"/>
        </w:rPr>
        <w:t>Robert F. Bauer</w:t>
      </w:r>
      <w:r w:rsidRPr="00CA0B8A">
        <w:rPr>
          <w:sz w:val="20"/>
          <w:szCs w:val="20"/>
        </w:rPr>
        <w:t xml:space="preserve">, Co-Chair and Member – Partner, Perkins </w:t>
      </w:r>
      <w:proofErr w:type="spellStart"/>
      <w:r w:rsidRPr="00CA0B8A">
        <w:rPr>
          <w:sz w:val="20"/>
          <w:szCs w:val="20"/>
        </w:rPr>
        <w:t>Coie</w:t>
      </w:r>
      <w:proofErr w:type="spellEnd"/>
      <w:r w:rsidRPr="00CA0B8A">
        <w:rPr>
          <w:sz w:val="20"/>
          <w:szCs w:val="20"/>
        </w:rPr>
        <w:t xml:space="preserve"> LLP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1" w:name="h.lxyjor2qucst" w:colFirst="0" w:colLast="0"/>
      <w:bookmarkEnd w:id="1"/>
      <w:r w:rsidRPr="00CA0B8A">
        <w:rPr>
          <w:sz w:val="20"/>
          <w:szCs w:val="20"/>
          <w:u w:val="single"/>
        </w:rPr>
        <w:t>Benjamin L. Ginsberg</w:t>
      </w:r>
      <w:r w:rsidRPr="00CA0B8A">
        <w:rPr>
          <w:sz w:val="20"/>
          <w:szCs w:val="20"/>
        </w:rPr>
        <w:t>, Co-Chair and Member – Partner, Patton Boggs LLP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2" w:name="h.bua8qb70hd2s" w:colFirst="0" w:colLast="0"/>
      <w:bookmarkEnd w:id="2"/>
      <w:r w:rsidRPr="00CA0B8A">
        <w:rPr>
          <w:sz w:val="20"/>
          <w:szCs w:val="20"/>
          <w:u w:val="single"/>
        </w:rPr>
        <w:t>Brian Britton</w:t>
      </w:r>
      <w:r w:rsidRPr="00CA0B8A">
        <w:rPr>
          <w:sz w:val="20"/>
          <w:szCs w:val="20"/>
        </w:rPr>
        <w:t>, Member – Vice President, Global Park Operations and Planning at Walt Disney Parks and Resorts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3" w:name="h.addgqb1boj2z" w:colFirst="0" w:colLast="0"/>
      <w:bookmarkEnd w:id="3"/>
      <w:r w:rsidRPr="00CA0B8A">
        <w:rPr>
          <w:sz w:val="20"/>
          <w:szCs w:val="20"/>
          <w:u w:val="single"/>
        </w:rPr>
        <w:t xml:space="preserve">Joe </w:t>
      </w:r>
      <w:proofErr w:type="spellStart"/>
      <w:r w:rsidRPr="00CA0B8A">
        <w:rPr>
          <w:sz w:val="20"/>
          <w:szCs w:val="20"/>
          <w:u w:val="single"/>
        </w:rPr>
        <w:t>Echevarria</w:t>
      </w:r>
      <w:proofErr w:type="spellEnd"/>
      <w:r w:rsidRPr="00CA0B8A">
        <w:rPr>
          <w:sz w:val="20"/>
          <w:szCs w:val="20"/>
        </w:rPr>
        <w:t>, Member – Chief Executive Officer, Deloitte LLP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4" w:name="h.vid4cvvgkyor" w:colFirst="0" w:colLast="0"/>
      <w:bookmarkEnd w:id="4"/>
      <w:r w:rsidRPr="00CA0B8A">
        <w:rPr>
          <w:sz w:val="20"/>
          <w:szCs w:val="20"/>
          <w:u w:val="single"/>
        </w:rPr>
        <w:t>Trey Grayson</w:t>
      </w:r>
      <w:r w:rsidRPr="00CA0B8A">
        <w:rPr>
          <w:sz w:val="20"/>
          <w:szCs w:val="20"/>
        </w:rPr>
        <w:t>, Member – Director of the Institute of Politics at the John F. Kennedy School of Government at Harvard University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5" w:name="h.2kzsxnguimqm" w:colFirst="0" w:colLast="0"/>
      <w:bookmarkEnd w:id="5"/>
      <w:r w:rsidRPr="00CA0B8A">
        <w:rPr>
          <w:sz w:val="20"/>
          <w:szCs w:val="20"/>
          <w:u w:val="single"/>
        </w:rPr>
        <w:t>Larry Lomax</w:t>
      </w:r>
      <w:r w:rsidRPr="00CA0B8A">
        <w:rPr>
          <w:sz w:val="20"/>
          <w:szCs w:val="20"/>
        </w:rPr>
        <w:t>, Member – Clark County (Nevada) Registrar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6" w:name="h.siybya8qmi65" w:colFirst="0" w:colLast="0"/>
      <w:bookmarkEnd w:id="6"/>
      <w:r w:rsidRPr="00CA0B8A">
        <w:rPr>
          <w:sz w:val="20"/>
          <w:szCs w:val="20"/>
          <w:u w:val="single"/>
        </w:rPr>
        <w:t>Michele Coleman Mayes</w:t>
      </w:r>
      <w:r w:rsidRPr="00CA0B8A">
        <w:rPr>
          <w:sz w:val="20"/>
          <w:szCs w:val="20"/>
        </w:rPr>
        <w:t>, Member – Vice President, General Counsel and Secretary for the New York Public Library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7" w:name="h.vl2aksi510sy" w:colFirst="0" w:colLast="0"/>
      <w:bookmarkEnd w:id="7"/>
      <w:r w:rsidRPr="00CA0B8A">
        <w:rPr>
          <w:sz w:val="20"/>
          <w:szCs w:val="20"/>
          <w:u w:val="single"/>
        </w:rPr>
        <w:t>Ann McGeehan</w:t>
      </w:r>
      <w:r w:rsidRPr="00CA0B8A">
        <w:rPr>
          <w:sz w:val="20"/>
          <w:szCs w:val="20"/>
        </w:rPr>
        <w:t>, Member – Assistant General Counsel of the Texas County and District Retirement System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8" w:name="h.lw9t3o2u523s" w:colFirst="0" w:colLast="0"/>
      <w:bookmarkEnd w:id="8"/>
      <w:r w:rsidRPr="00CA0B8A">
        <w:rPr>
          <w:sz w:val="20"/>
          <w:szCs w:val="20"/>
          <w:u w:val="single"/>
        </w:rPr>
        <w:t>Tammy Patrick</w:t>
      </w:r>
      <w:r w:rsidRPr="00CA0B8A">
        <w:rPr>
          <w:sz w:val="20"/>
          <w:szCs w:val="20"/>
        </w:rPr>
        <w:t>, Member – Federal Compliance Officer for the Maricopa County (Arizona) Elections Department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9" w:name="h.62lnxrr3d6jo" w:colFirst="0" w:colLast="0"/>
      <w:bookmarkEnd w:id="9"/>
      <w:r w:rsidRPr="00CA0B8A">
        <w:rPr>
          <w:sz w:val="20"/>
          <w:szCs w:val="20"/>
          <w:u w:val="single"/>
        </w:rPr>
        <w:t>Christopher Thomas</w:t>
      </w:r>
      <w:r w:rsidRPr="00CA0B8A">
        <w:rPr>
          <w:sz w:val="20"/>
          <w:szCs w:val="20"/>
        </w:rPr>
        <w:t>, Member – Director of Elections in the Michigan Department of State</w:t>
      </w:r>
    </w:p>
    <w:p w:rsidR="00CA0B8A" w:rsidRPr="00CA0B8A" w:rsidRDefault="00CA0B8A" w:rsidP="00CA0B8A">
      <w:pPr>
        <w:pStyle w:val="normal0"/>
        <w:ind w:left="900"/>
        <w:rPr>
          <w:sz w:val="20"/>
          <w:szCs w:val="20"/>
        </w:rPr>
      </w:pPr>
      <w:bookmarkStart w:id="10" w:name="h.huhd3hquse50" w:colFirst="0" w:colLast="0"/>
      <w:bookmarkEnd w:id="10"/>
      <w:r w:rsidRPr="00CA0B8A">
        <w:rPr>
          <w:sz w:val="20"/>
          <w:szCs w:val="20"/>
          <w:u w:val="single"/>
        </w:rPr>
        <w:t xml:space="preserve">Nathaniel </w:t>
      </w:r>
      <w:proofErr w:type="spellStart"/>
      <w:r w:rsidRPr="00CA0B8A">
        <w:rPr>
          <w:sz w:val="20"/>
          <w:szCs w:val="20"/>
          <w:u w:val="single"/>
        </w:rPr>
        <w:t>Persily</w:t>
      </w:r>
      <w:proofErr w:type="spellEnd"/>
      <w:r w:rsidRPr="00CA0B8A">
        <w:rPr>
          <w:sz w:val="20"/>
          <w:szCs w:val="20"/>
        </w:rPr>
        <w:t xml:space="preserve">, Senior Research Director -- </w:t>
      </w:r>
      <w:proofErr w:type="spellStart"/>
      <w:r w:rsidRPr="00CA0B8A">
        <w:rPr>
          <w:sz w:val="20"/>
          <w:szCs w:val="20"/>
        </w:rPr>
        <w:t>Beekman</w:t>
      </w:r>
      <w:proofErr w:type="spellEnd"/>
      <w:r w:rsidRPr="00CA0B8A">
        <w:rPr>
          <w:sz w:val="20"/>
          <w:szCs w:val="20"/>
        </w:rPr>
        <w:t xml:space="preserve"> Professor of Law and Political Science at Columbia Law School, and as of July 1, 2013, Professor of Law at Stanford Law School.</w:t>
      </w:r>
    </w:p>
    <w:p w:rsidR="00CA0B8A" w:rsidRPr="00CA0B8A" w:rsidRDefault="00CA0B8A" w:rsidP="00CA0B8A">
      <w:pPr>
        <w:pStyle w:val="normal0"/>
        <w:spacing w:line="262" w:lineRule="auto"/>
        <w:rPr>
          <w:sz w:val="20"/>
          <w:szCs w:val="20"/>
        </w:rPr>
      </w:pPr>
      <w:r w:rsidRPr="00CA0B8A">
        <w:rPr>
          <w:sz w:val="20"/>
          <w:szCs w:val="20"/>
        </w:rPr>
        <w:t xml:space="preserve"> </w:t>
      </w:r>
    </w:p>
    <w:p w:rsidR="00CA0B8A" w:rsidRPr="00CA0B8A" w:rsidRDefault="00CA0B8A" w:rsidP="00CA0B8A">
      <w:pPr>
        <w:pStyle w:val="normal0"/>
        <w:rPr>
          <w:sz w:val="20"/>
          <w:szCs w:val="20"/>
        </w:rPr>
      </w:pPr>
      <w:r w:rsidRPr="00CA0B8A">
        <w:rPr>
          <w:b/>
          <w:i/>
          <w:sz w:val="20"/>
          <w:szCs w:val="20"/>
        </w:rPr>
        <w:t xml:space="preserve">NOTE:  </w:t>
      </w:r>
      <w:r w:rsidRPr="00CA0B8A">
        <w:rPr>
          <w:i/>
          <w:sz w:val="20"/>
          <w:szCs w:val="20"/>
        </w:rPr>
        <w:t>Security measures will be in place. News media representatives should plan to arrive about 20 minutes early and provide a government-issued photo ID and current media credentials.</w:t>
      </w:r>
      <w:r>
        <w:rPr>
          <w:i/>
          <w:sz w:val="20"/>
          <w:szCs w:val="20"/>
        </w:rPr>
        <w:t xml:space="preserve"> </w:t>
      </w:r>
      <w:r w:rsidRPr="00CA0B8A">
        <w:rPr>
          <w:i/>
          <w:sz w:val="20"/>
          <w:szCs w:val="20"/>
        </w:rPr>
        <w:t>Media representatives who wish to attend should RSVP no later than June 19 with Greg Romano at 202-219-1084 or email at Greg.Romano@supportthevoter.gov</w:t>
      </w:r>
    </w:p>
    <w:p w:rsidR="00CA0B8A" w:rsidRPr="00CA0B8A" w:rsidRDefault="00CA0B8A" w:rsidP="00CA0B8A">
      <w:pPr>
        <w:pStyle w:val="normal0"/>
        <w:rPr>
          <w:sz w:val="20"/>
          <w:szCs w:val="20"/>
        </w:rPr>
      </w:pPr>
      <w:r w:rsidRPr="00CA0B8A">
        <w:rPr>
          <w:i/>
          <w:sz w:val="20"/>
          <w:szCs w:val="20"/>
        </w:rPr>
        <w:t xml:space="preserve"> </w:t>
      </w:r>
    </w:p>
    <w:p w:rsidR="00CA0B8A" w:rsidRPr="00CA0B8A" w:rsidRDefault="00CA0B8A" w:rsidP="00CA0B8A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#  #  #</w:t>
      </w:r>
    </w:p>
    <w:sectPr w:rsidR="00CA0B8A" w:rsidRPr="00CA0B8A" w:rsidSect="00CA0B8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65"/>
    <w:multiLevelType w:val="hybridMultilevel"/>
    <w:tmpl w:val="CA5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D4464"/>
    <w:multiLevelType w:val="hybridMultilevel"/>
    <w:tmpl w:val="DAE65C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1E02DA4"/>
    <w:multiLevelType w:val="multilevel"/>
    <w:tmpl w:val="5E58AE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B8A"/>
    <w:rsid w:val="004F32F2"/>
    <w:rsid w:val="00577DF8"/>
    <w:rsid w:val="00991A5A"/>
    <w:rsid w:val="00B71BE2"/>
    <w:rsid w:val="00CA0B8A"/>
    <w:rsid w:val="00CA6B1D"/>
    <w:rsid w:val="00D47C5C"/>
    <w:rsid w:val="00F0220F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0B8A"/>
    <w:pPr>
      <w:spacing w:after="0"/>
    </w:pPr>
    <w:rPr>
      <w:rFonts w:eastAsia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A0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.Romano@supportthevoter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>GSA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GregoryFRomano</dc:creator>
  <cp:lastModifiedBy>GregoryFRomano</cp:lastModifiedBy>
  <cp:revision>3</cp:revision>
  <dcterms:created xsi:type="dcterms:W3CDTF">2013-06-07T17:42:00Z</dcterms:created>
  <dcterms:modified xsi:type="dcterms:W3CDTF">2013-06-07T17:48:00Z</dcterms:modified>
</cp:coreProperties>
</file>