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6763" w14:textId="1775A72D" w:rsidR="008930FC" w:rsidRPr="00C81623" w:rsidRDefault="006314BC" w:rsidP="009C1787">
      <w:pPr>
        <w:jc w:val="center"/>
        <w:rPr>
          <w:rFonts w:ascii="Arial" w:hAnsi="Arial" w:cs="Arial"/>
          <w:sz w:val="20"/>
          <w:szCs w:val="20"/>
        </w:rPr>
      </w:pPr>
      <w:r w:rsidRPr="00C81623">
        <w:rPr>
          <w:rFonts w:ascii="Arial" w:hAnsi="Arial" w:cs="Arial"/>
          <w:sz w:val="20"/>
          <w:szCs w:val="20"/>
        </w:rPr>
        <w:t xml:space="preserve"> </w:t>
      </w:r>
    </w:p>
    <w:p w14:paraId="0B724801" w14:textId="522CFC6E" w:rsidR="008930FC" w:rsidRPr="00C81623" w:rsidRDefault="009C1787" w:rsidP="00420807">
      <w:pPr>
        <w:rPr>
          <w:rFonts w:ascii="Arial" w:hAnsi="Arial" w:cs="Arial"/>
          <w:sz w:val="20"/>
          <w:szCs w:val="20"/>
        </w:rPr>
      </w:pPr>
      <w:r w:rsidRPr="00C81623">
        <w:rPr>
          <w:rFonts w:ascii="Arial" w:hAnsi="Arial" w:cs="Arial"/>
          <w:sz w:val="20"/>
          <w:szCs w:val="20"/>
        </w:rPr>
        <w:t xml:space="preserve"> </w:t>
      </w:r>
    </w:p>
    <w:p w14:paraId="5199216C" w14:textId="2BA83045" w:rsidR="00E12965" w:rsidRPr="0081440B" w:rsidRDefault="005837C0" w:rsidP="00CA668D">
      <w:pPr>
        <w:ind w:right="-90"/>
        <w:jc w:val="center"/>
        <w:rPr>
          <w:rFonts w:ascii="Arial" w:hAnsi="Arial" w:cs="Arial"/>
          <w:b/>
          <w:sz w:val="24"/>
          <w:szCs w:val="24"/>
          <w:lang w:bidi="th-TH"/>
        </w:rPr>
      </w:pPr>
      <w:r w:rsidRPr="0081440B">
        <w:rPr>
          <w:rFonts w:ascii="Arial" w:hAnsi="Arial" w:cs="Arial"/>
          <w:b/>
          <w:sz w:val="24"/>
          <w:szCs w:val="24"/>
          <w:lang w:bidi="th-TH"/>
        </w:rPr>
        <w:t xml:space="preserve">Fracking: </w:t>
      </w:r>
      <w:r w:rsidR="00CA668D" w:rsidRPr="0081440B">
        <w:rPr>
          <w:rFonts w:ascii="Arial" w:hAnsi="Arial" w:cs="Arial"/>
          <w:b/>
          <w:sz w:val="24"/>
          <w:szCs w:val="24"/>
          <w:lang w:bidi="th-TH"/>
        </w:rPr>
        <w:t>A Contiguity-Related Redistricting M</w:t>
      </w:r>
      <w:r w:rsidR="006314BC" w:rsidRPr="0081440B">
        <w:rPr>
          <w:rFonts w:ascii="Arial" w:hAnsi="Arial" w:cs="Arial"/>
          <w:b/>
          <w:sz w:val="24"/>
          <w:szCs w:val="24"/>
          <w:lang w:bidi="th-TH"/>
        </w:rPr>
        <w:t>e</w:t>
      </w:r>
      <w:r w:rsidR="00CA668D" w:rsidRPr="0081440B">
        <w:rPr>
          <w:rFonts w:ascii="Arial" w:hAnsi="Arial" w:cs="Arial"/>
          <w:b/>
          <w:sz w:val="24"/>
          <w:szCs w:val="24"/>
          <w:lang w:bidi="th-TH"/>
        </w:rPr>
        <w:t>tric</w:t>
      </w:r>
      <w:r w:rsidR="00E12965" w:rsidRPr="0081440B">
        <w:rPr>
          <w:rFonts w:ascii="Arial" w:hAnsi="Arial" w:cs="Arial"/>
          <w:b/>
          <w:sz w:val="24"/>
          <w:szCs w:val="24"/>
          <w:lang w:bidi="th-TH"/>
        </w:rPr>
        <w:t>*</w:t>
      </w:r>
    </w:p>
    <w:p w14:paraId="7AA415CE" w14:textId="77777777" w:rsidR="00E12965" w:rsidRPr="00C81623" w:rsidRDefault="00E12965" w:rsidP="00E12965">
      <w:pPr>
        <w:jc w:val="center"/>
        <w:rPr>
          <w:rFonts w:ascii="Arial" w:hAnsi="Arial" w:cs="Arial"/>
          <w:sz w:val="20"/>
          <w:szCs w:val="20"/>
          <w:lang w:bidi="th-TH"/>
        </w:rPr>
      </w:pPr>
    </w:p>
    <w:p w14:paraId="03E57D6B" w14:textId="77777777" w:rsidR="00E12965" w:rsidRPr="00C81623" w:rsidRDefault="00E12965" w:rsidP="00E12965">
      <w:pPr>
        <w:jc w:val="center"/>
        <w:rPr>
          <w:rFonts w:ascii="Arial" w:hAnsi="Arial" w:cs="Arial"/>
          <w:sz w:val="20"/>
          <w:szCs w:val="20"/>
          <w:lang w:bidi="th-TH"/>
        </w:rPr>
      </w:pPr>
    </w:p>
    <w:p w14:paraId="160935D5" w14:textId="77777777" w:rsidR="00E12965" w:rsidRPr="00C81623" w:rsidRDefault="00E12965" w:rsidP="00E12965">
      <w:pPr>
        <w:jc w:val="center"/>
        <w:rPr>
          <w:rFonts w:ascii="Arial" w:hAnsi="Arial" w:cs="Arial"/>
          <w:sz w:val="20"/>
          <w:szCs w:val="20"/>
          <w:lang w:bidi="th-TH"/>
        </w:rPr>
      </w:pPr>
    </w:p>
    <w:p w14:paraId="440B0FDA" w14:textId="6DDE4E62" w:rsidR="00E12965" w:rsidRPr="00C81623" w:rsidRDefault="00E12965" w:rsidP="00E12965">
      <w:pPr>
        <w:jc w:val="center"/>
        <w:rPr>
          <w:rFonts w:ascii="Arial" w:hAnsi="Arial" w:cs="Arial"/>
          <w:sz w:val="20"/>
          <w:szCs w:val="20"/>
          <w:lang w:bidi="th-TH"/>
        </w:rPr>
      </w:pPr>
      <w:r w:rsidRPr="00C81623">
        <w:rPr>
          <w:rFonts w:ascii="Arial" w:hAnsi="Arial" w:cs="Arial"/>
          <w:sz w:val="20"/>
          <w:szCs w:val="20"/>
          <w:lang w:bidi="th-TH"/>
        </w:rPr>
        <w:t>Jonathan Cervas</w:t>
      </w:r>
    </w:p>
    <w:p w14:paraId="7A62FC8D" w14:textId="1DF399CB" w:rsidR="00E12965" w:rsidRPr="00C81623" w:rsidRDefault="00E12965" w:rsidP="00E12965">
      <w:pPr>
        <w:jc w:val="center"/>
        <w:rPr>
          <w:rFonts w:ascii="Arial" w:hAnsi="Arial" w:cs="Arial"/>
          <w:sz w:val="20"/>
          <w:szCs w:val="20"/>
          <w:lang w:bidi="th-TH"/>
        </w:rPr>
      </w:pPr>
      <w:r w:rsidRPr="00C81623">
        <w:rPr>
          <w:rFonts w:ascii="Arial" w:hAnsi="Arial" w:cs="Arial"/>
          <w:sz w:val="20"/>
          <w:szCs w:val="20"/>
          <w:lang w:bidi="th-TH"/>
        </w:rPr>
        <w:t>Bernard Grofman</w:t>
      </w:r>
    </w:p>
    <w:p w14:paraId="70D02728" w14:textId="6ECA912C" w:rsidR="00E12965" w:rsidRPr="00C81623" w:rsidRDefault="00E12965" w:rsidP="00DF609D">
      <w:pPr>
        <w:rPr>
          <w:rFonts w:ascii="Arial" w:hAnsi="Arial" w:cs="Arial"/>
          <w:sz w:val="20"/>
          <w:szCs w:val="20"/>
          <w:lang w:bidi="th-TH"/>
        </w:rPr>
      </w:pPr>
    </w:p>
    <w:p w14:paraId="7C7B17D3" w14:textId="77777777" w:rsidR="00E12965" w:rsidRPr="00C81623" w:rsidRDefault="00E12965" w:rsidP="00E12965">
      <w:pPr>
        <w:rPr>
          <w:rFonts w:ascii="Arial" w:hAnsi="Arial" w:cs="Arial"/>
          <w:sz w:val="20"/>
          <w:szCs w:val="20"/>
          <w:lang w:bidi="th-TH"/>
        </w:rPr>
      </w:pPr>
    </w:p>
    <w:p w14:paraId="194DE1E1" w14:textId="77777777" w:rsidR="00E12965" w:rsidRPr="00C81623" w:rsidRDefault="00E12965" w:rsidP="00E12965">
      <w:pPr>
        <w:rPr>
          <w:rFonts w:ascii="Arial" w:hAnsi="Arial" w:cs="Arial"/>
          <w:sz w:val="20"/>
          <w:szCs w:val="20"/>
          <w:lang w:bidi="th-TH"/>
        </w:rPr>
      </w:pPr>
    </w:p>
    <w:p w14:paraId="02442294" w14:textId="746830E0" w:rsidR="00E12965" w:rsidRPr="00C81623" w:rsidRDefault="006314BC" w:rsidP="00E12965">
      <w:pPr>
        <w:jc w:val="center"/>
        <w:rPr>
          <w:rFonts w:ascii="Arial" w:hAnsi="Arial" w:cs="Arial"/>
          <w:sz w:val="20"/>
          <w:szCs w:val="20"/>
          <w:u w:val="single"/>
          <w:lang w:bidi="th-TH"/>
        </w:rPr>
      </w:pPr>
      <w:r w:rsidRPr="00C81623">
        <w:rPr>
          <w:rFonts w:ascii="Arial" w:hAnsi="Arial" w:cs="Arial"/>
          <w:sz w:val="20"/>
          <w:szCs w:val="20"/>
          <w:lang w:bidi="th-TH"/>
        </w:rPr>
        <w:t xml:space="preserve">August </w:t>
      </w:r>
      <w:r w:rsidR="00F77346" w:rsidRPr="00C81623">
        <w:rPr>
          <w:rFonts w:ascii="Arial" w:hAnsi="Arial" w:cs="Arial"/>
          <w:sz w:val="20"/>
          <w:szCs w:val="20"/>
          <w:lang w:bidi="th-TH"/>
        </w:rPr>
        <w:t>2</w:t>
      </w:r>
      <w:r w:rsidR="00C56C6E">
        <w:rPr>
          <w:rFonts w:ascii="Arial" w:hAnsi="Arial" w:cs="Arial"/>
          <w:sz w:val="20"/>
          <w:szCs w:val="20"/>
          <w:lang w:bidi="th-TH"/>
        </w:rPr>
        <w:t>9</w:t>
      </w:r>
      <w:r w:rsidR="00E12965" w:rsidRPr="00C81623">
        <w:rPr>
          <w:rFonts w:ascii="Arial" w:hAnsi="Arial" w:cs="Arial"/>
          <w:sz w:val="20"/>
          <w:szCs w:val="20"/>
          <w:lang w:bidi="th-TH"/>
        </w:rPr>
        <w:t>, 202</w:t>
      </w:r>
      <w:r w:rsidR="00CA668D" w:rsidRPr="00C81623">
        <w:rPr>
          <w:rFonts w:ascii="Arial" w:hAnsi="Arial" w:cs="Arial"/>
          <w:sz w:val="20"/>
          <w:szCs w:val="20"/>
          <w:lang w:bidi="th-TH"/>
        </w:rPr>
        <w:t>1</w:t>
      </w:r>
    </w:p>
    <w:p w14:paraId="2E40BA83" w14:textId="2D0F441E" w:rsidR="00E12965" w:rsidRPr="00C81623" w:rsidRDefault="00E12965" w:rsidP="00DF609D">
      <w:pPr>
        <w:rPr>
          <w:rFonts w:ascii="Arial" w:hAnsi="Arial" w:cs="Arial"/>
          <w:sz w:val="20"/>
          <w:szCs w:val="20"/>
          <w:lang w:bidi="th-TH"/>
        </w:rPr>
      </w:pPr>
    </w:p>
    <w:p w14:paraId="3DB50FCF" w14:textId="662C5B07" w:rsidR="00755CB8" w:rsidRPr="00C81623" w:rsidRDefault="00755CB8" w:rsidP="00DF609D">
      <w:pPr>
        <w:rPr>
          <w:rFonts w:ascii="Arial" w:hAnsi="Arial" w:cs="Arial"/>
          <w:sz w:val="20"/>
          <w:szCs w:val="20"/>
          <w:lang w:bidi="th-TH"/>
        </w:rPr>
      </w:pPr>
    </w:p>
    <w:p w14:paraId="4EAD0BC9" w14:textId="5FA9FB9A" w:rsidR="00755CB8" w:rsidRPr="00C81623" w:rsidRDefault="00755CB8" w:rsidP="00DF609D">
      <w:pPr>
        <w:rPr>
          <w:rFonts w:ascii="Arial" w:hAnsi="Arial" w:cs="Arial"/>
          <w:sz w:val="20"/>
          <w:szCs w:val="20"/>
          <w:lang w:bidi="th-TH"/>
        </w:rPr>
      </w:pPr>
    </w:p>
    <w:p w14:paraId="17263E21" w14:textId="312A4325" w:rsidR="00755CB8" w:rsidRPr="00C81623" w:rsidRDefault="00755CB8" w:rsidP="00DF609D">
      <w:pPr>
        <w:rPr>
          <w:rFonts w:ascii="Arial" w:hAnsi="Arial" w:cs="Arial"/>
          <w:sz w:val="20"/>
          <w:szCs w:val="20"/>
          <w:lang w:bidi="th-TH"/>
        </w:rPr>
      </w:pPr>
    </w:p>
    <w:p w14:paraId="3D5E9D09" w14:textId="71BB3DC1" w:rsidR="00755CB8" w:rsidRPr="00C81623" w:rsidRDefault="00755CB8" w:rsidP="00DF609D">
      <w:pPr>
        <w:rPr>
          <w:rFonts w:ascii="Arial" w:hAnsi="Arial" w:cs="Arial"/>
          <w:sz w:val="20"/>
          <w:szCs w:val="20"/>
          <w:lang w:bidi="th-TH"/>
        </w:rPr>
      </w:pPr>
    </w:p>
    <w:p w14:paraId="373D0D00" w14:textId="77777777" w:rsidR="00755CB8" w:rsidRPr="00C81623" w:rsidRDefault="00755CB8" w:rsidP="00DF609D">
      <w:pPr>
        <w:rPr>
          <w:rFonts w:ascii="Arial" w:hAnsi="Arial" w:cs="Arial"/>
          <w:sz w:val="20"/>
          <w:szCs w:val="20"/>
          <w:lang w:bidi="th-TH"/>
        </w:rPr>
      </w:pPr>
    </w:p>
    <w:p w14:paraId="7538E650" w14:textId="7B87E42B" w:rsidR="00690531" w:rsidRDefault="00690531" w:rsidP="00E12965">
      <w:pPr>
        <w:jc w:val="center"/>
        <w:rPr>
          <w:rFonts w:ascii="Arial" w:hAnsi="Arial" w:cs="Arial"/>
          <w:sz w:val="20"/>
          <w:szCs w:val="20"/>
          <w:lang w:bidi="th-TH"/>
        </w:rPr>
      </w:pPr>
    </w:p>
    <w:p w14:paraId="27492E73" w14:textId="3D87A9C0" w:rsidR="00690531" w:rsidRDefault="00690531" w:rsidP="00E12965">
      <w:pPr>
        <w:jc w:val="center"/>
        <w:rPr>
          <w:rFonts w:ascii="Arial" w:hAnsi="Arial" w:cs="Arial"/>
          <w:sz w:val="20"/>
          <w:szCs w:val="20"/>
          <w:lang w:bidi="th-TH"/>
        </w:rPr>
      </w:pPr>
    </w:p>
    <w:p w14:paraId="1887F887" w14:textId="33561B5A" w:rsidR="00690531" w:rsidRDefault="00690531" w:rsidP="00E12965">
      <w:pPr>
        <w:jc w:val="center"/>
        <w:rPr>
          <w:rFonts w:ascii="Arial" w:hAnsi="Arial" w:cs="Arial"/>
          <w:sz w:val="20"/>
          <w:szCs w:val="20"/>
          <w:lang w:bidi="th-TH"/>
        </w:rPr>
      </w:pPr>
    </w:p>
    <w:p w14:paraId="09640A0A" w14:textId="5DE1D9E7" w:rsidR="00690531" w:rsidRDefault="00690531" w:rsidP="00E12965">
      <w:pPr>
        <w:jc w:val="center"/>
        <w:rPr>
          <w:rFonts w:ascii="Arial" w:hAnsi="Arial" w:cs="Arial"/>
          <w:sz w:val="20"/>
          <w:szCs w:val="20"/>
          <w:lang w:bidi="th-TH"/>
        </w:rPr>
      </w:pPr>
    </w:p>
    <w:p w14:paraId="3C715C91" w14:textId="77777777" w:rsidR="00690531" w:rsidRDefault="00690531" w:rsidP="00E12965">
      <w:pPr>
        <w:jc w:val="center"/>
        <w:rPr>
          <w:rFonts w:ascii="Arial" w:hAnsi="Arial" w:cs="Arial"/>
          <w:sz w:val="20"/>
          <w:szCs w:val="20"/>
          <w:lang w:bidi="th-TH"/>
        </w:rPr>
      </w:pPr>
    </w:p>
    <w:p w14:paraId="4F1F36D8" w14:textId="77777777" w:rsidR="00690531" w:rsidRPr="00C81623" w:rsidRDefault="00690531" w:rsidP="00E12965">
      <w:pPr>
        <w:jc w:val="center"/>
        <w:rPr>
          <w:rFonts w:ascii="Arial" w:hAnsi="Arial" w:cs="Arial"/>
          <w:sz w:val="20"/>
          <w:szCs w:val="20"/>
          <w:lang w:bidi="th-TH"/>
        </w:rPr>
      </w:pPr>
    </w:p>
    <w:p w14:paraId="1F9F8DCD" w14:textId="4122DB69" w:rsidR="00FA6CE0" w:rsidRDefault="006314BC" w:rsidP="00C56C6E">
      <w:pPr>
        <w:pStyle w:val="NormalWeb"/>
        <w:rPr>
          <w:rFonts w:ascii="Arial" w:hAnsi="Arial" w:cs="Arial"/>
          <w:sz w:val="20"/>
          <w:szCs w:val="20"/>
        </w:rPr>
      </w:pPr>
      <w:r w:rsidRPr="00C81623">
        <w:rPr>
          <w:rFonts w:ascii="Arial" w:hAnsi="Arial" w:cs="Arial"/>
          <w:sz w:val="20"/>
          <w:szCs w:val="20"/>
          <w:lang w:bidi="th-TH"/>
        </w:rPr>
        <w:t xml:space="preserve">* </w:t>
      </w:r>
      <w:r w:rsidRPr="00C81623">
        <w:rPr>
          <w:rFonts w:ascii="Arial" w:hAnsi="Arial" w:cs="Arial"/>
          <w:sz w:val="20"/>
          <w:szCs w:val="20"/>
        </w:rPr>
        <w:t>Grofman is the Jack W. Peltason Chair of Democracy Studies and Distinguished Professor of Political Science at the University of California, Irvine. He has drawn remedial redistricting plans for four federal courts as the Special Master and has testified as an expert in numerous redistricting cases. Cervas is a Post-Doctoral Fellow in the Institute for Strategy and Politics at Carnegie-Mellon University</w:t>
      </w:r>
      <w:r w:rsidR="00755CB8" w:rsidRPr="00C81623">
        <w:rPr>
          <w:rFonts w:ascii="Arial" w:hAnsi="Arial" w:cs="Arial"/>
          <w:sz w:val="20"/>
          <w:szCs w:val="20"/>
        </w:rPr>
        <w:t xml:space="preserve"> and </w:t>
      </w:r>
      <w:r w:rsidR="00CE60F6" w:rsidRPr="00C81623">
        <w:rPr>
          <w:rFonts w:ascii="Arial" w:hAnsi="Arial" w:cs="Arial"/>
          <w:sz w:val="20"/>
          <w:szCs w:val="20"/>
        </w:rPr>
        <w:t xml:space="preserve">is the </w:t>
      </w:r>
      <w:r w:rsidR="00755CB8" w:rsidRPr="00C81623">
        <w:rPr>
          <w:rFonts w:ascii="Arial" w:hAnsi="Arial" w:cs="Arial"/>
          <w:sz w:val="20"/>
          <w:szCs w:val="20"/>
        </w:rPr>
        <w:t>mapping consultant to the Pennsylvania Legislative Reapportionment Commission.</w:t>
      </w:r>
      <w:r w:rsidR="00C81623">
        <w:rPr>
          <w:rFonts w:ascii="Arial" w:hAnsi="Arial" w:cs="Arial"/>
          <w:sz w:val="20"/>
          <w:szCs w:val="20"/>
        </w:rPr>
        <w:t xml:space="preserve"> </w:t>
      </w:r>
      <w:r w:rsidRPr="00C81623">
        <w:rPr>
          <w:rFonts w:ascii="Arial" w:hAnsi="Arial" w:cs="Arial"/>
          <w:sz w:val="20"/>
          <w:szCs w:val="20"/>
        </w:rPr>
        <w:t xml:space="preserve">His focus is on elections and applications of geographic information systems. </w:t>
      </w:r>
      <w:r w:rsidR="00755CB8" w:rsidRPr="00C81623">
        <w:rPr>
          <w:rFonts w:ascii="Arial" w:hAnsi="Arial" w:cs="Arial"/>
          <w:sz w:val="20"/>
          <w:szCs w:val="20"/>
          <w:lang w:bidi="th-TH"/>
        </w:rPr>
        <w:t xml:space="preserve">Grofman’s </w:t>
      </w:r>
      <w:r w:rsidR="00755CB8" w:rsidRPr="00C81623">
        <w:rPr>
          <w:rFonts w:ascii="Arial" w:hAnsi="Arial" w:cs="Arial"/>
          <w:sz w:val="20"/>
          <w:szCs w:val="20"/>
        </w:rPr>
        <w:t>work on this project was supported by the Jack W. Peltason (Bren Foundation) Chair at the University of California, Irvine. Cervas’s initial work was supported by the Peltason Chair</w:t>
      </w:r>
      <w:r w:rsidR="00CE60F6" w:rsidRPr="00C81623">
        <w:rPr>
          <w:rFonts w:ascii="Arial" w:hAnsi="Arial" w:cs="Arial"/>
          <w:sz w:val="20"/>
          <w:szCs w:val="20"/>
        </w:rPr>
        <w:t xml:space="preserve">, the Peltason Center for the Study of </w:t>
      </w:r>
      <w:r w:rsidR="00DE0D85" w:rsidRPr="00C81623">
        <w:rPr>
          <w:rFonts w:ascii="Arial" w:hAnsi="Arial" w:cs="Arial"/>
          <w:sz w:val="20"/>
          <w:szCs w:val="20"/>
        </w:rPr>
        <w:t>Democracy</w:t>
      </w:r>
      <w:r w:rsidR="00CE60F6" w:rsidRPr="00C81623">
        <w:rPr>
          <w:rFonts w:ascii="Arial" w:hAnsi="Arial" w:cs="Arial"/>
          <w:sz w:val="20"/>
          <w:szCs w:val="20"/>
        </w:rPr>
        <w:t>,</w:t>
      </w:r>
      <w:r w:rsidR="00755CB8" w:rsidRPr="00C81623">
        <w:rPr>
          <w:rFonts w:ascii="Arial" w:hAnsi="Arial" w:cs="Arial"/>
          <w:sz w:val="20"/>
          <w:szCs w:val="20"/>
        </w:rPr>
        <w:t xml:space="preserve"> and the UCI School of Social Sciences.</w:t>
      </w:r>
      <w:r w:rsidR="00C56C6E">
        <w:rPr>
          <w:rFonts w:ascii="Arial" w:hAnsi="Arial" w:cs="Arial"/>
          <w:sz w:val="20"/>
          <w:szCs w:val="20"/>
        </w:rPr>
        <w:t xml:space="preserve"> We are indebted to Tracey Horgan, </w:t>
      </w:r>
      <w:r w:rsidR="00C56C6E" w:rsidRPr="00C81623">
        <w:rPr>
          <w:rFonts w:ascii="Arial" w:hAnsi="Arial" w:cs="Arial"/>
          <w:sz w:val="20"/>
          <w:szCs w:val="20"/>
        </w:rPr>
        <w:t>GIS Specialist and Director of Redistricting Services at Caliper Corporation,</w:t>
      </w:r>
      <w:r w:rsidR="00690531">
        <w:rPr>
          <w:rFonts w:ascii="Arial" w:hAnsi="Arial" w:cs="Arial"/>
          <w:sz w:val="20"/>
          <w:szCs w:val="20"/>
        </w:rPr>
        <w:t xml:space="preserve"> which is</w:t>
      </w:r>
      <w:r w:rsidR="00C56C6E" w:rsidRPr="00C81623">
        <w:rPr>
          <w:rFonts w:ascii="Arial" w:hAnsi="Arial" w:cs="Arial"/>
          <w:sz w:val="20"/>
          <w:szCs w:val="20"/>
        </w:rPr>
        <w:t xml:space="preserve"> </w:t>
      </w:r>
      <w:r w:rsidR="00690531">
        <w:rPr>
          <w:rFonts w:ascii="Arial" w:hAnsi="Arial" w:cs="Arial"/>
          <w:sz w:val="20"/>
          <w:szCs w:val="20"/>
        </w:rPr>
        <w:t>the developer</w:t>
      </w:r>
      <w:r w:rsidR="00C56C6E" w:rsidRPr="00C81623">
        <w:rPr>
          <w:rFonts w:ascii="Arial" w:hAnsi="Arial" w:cs="Arial"/>
          <w:sz w:val="20"/>
          <w:szCs w:val="20"/>
        </w:rPr>
        <w:t xml:space="preserve"> of the widely used mapping</w:t>
      </w:r>
      <w:r w:rsidR="00C56C6E">
        <w:rPr>
          <w:rFonts w:ascii="Arial" w:hAnsi="Arial" w:cs="Arial"/>
          <w:sz w:val="20"/>
          <w:szCs w:val="20"/>
        </w:rPr>
        <w:t xml:space="preserve"> </w:t>
      </w:r>
      <w:r w:rsidR="00C56C6E" w:rsidRPr="00C81623">
        <w:rPr>
          <w:rFonts w:ascii="Arial" w:hAnsi="Arial" w:cs="Arial"/>
          <w:sz w:val="20"/>
          <w:szCs w:val="20"/>
        </w:rPr>
        <w:t xml:space="preserve">and redistricting program, </w:t>
      </w:r>
      <w:r w:rsidR="00C56C6E" w:rsidRPr="00C81623">
        <w:rPr>
          <w:rFonts w:ascii="Arial" w:hAnsi="Arial" w:cs="Arial"/>
          <w:i/>
          <w:iCs/>
          <w:sz w:val="20"/>
          <w:szCs w:val="20"/>
        </w:rPr>
        <w:t>Maptitude</w:t>
      </w:r>
      <w:r w:rsidR="00C56C6E">
        <w:rPr>
          <w:rFonts w:ascii="Arial" w:hAnsi="Arial" w:cs="Arial"/>
          <w:sz w:val="20"/>
          <w:szCs w:val="20"/>
        </w:rPr>
        <w:t xml:space="preserve">, for incorporating fracking as one of the </w:t>
      </w:r>
      <w:r w:rsidR="00690531">
        <w:rPr>
          <w:rFonts w:ascii="Arial" w:hAnsi="Arial" w:cs="Arial"/>
          <w:sz w:val="20"/>
          <w:szCs w:val="20"/>
        </w:rPr>
        <w:t xml:space="preserve">redistricting </w:t>
      </w:r>
      <w:r w:rsidR="00C56C6E">
        <w:rPr>
          <w:rFonts w:ascii="Arial" w:hAnsi="Arial" w:cs="Arial"/>
          <w:sz w:val="20"/>
          <w:szCs w:val="20"/>
        </w:rPr>
        <w:t xml:space="preserve">criteria to be tracked in </w:t>
      </w:r>
      <w:r w:rsidR="00C56C6E" w:rsidRPr="00C81623">
        <w:rPr>
          <w:rFonts w:ascii="Arial" w:hAnsi="Arial" w:cs="Arial"/>
          <w:i/>
          <w:iCs/>
          <w:sz w:val="20"/>
          <w:szCs w:val="20"/>
        </w:rPr>
        <w:t>Maptitude</w:t>
      </w:r>
      <w:r w:rsidR="00C56C6E">
        <w:rPr>
          <w:rFonts w:ascii="Arial" w:hAnsi="Arial" w:cs="Arial"/>
          <w:sz w:val="20"/>
          <w:szCs w:val="20"/>
        </w:rPr>
        <w:t xml:space="preserve">. </w:t>
      </w:r>
      <w:r w:rsidR="00FA6CE0">
        <w:rPr>
          <w:rFonts w:ascii="Arial" w:hAnsi="Arial" w:cs="Arial"/>
          <w:sz w:val="20"/>
          <w:szCs w:val="20"/>
        </w:rPr>
        <w:br w:type="page"/>
      </w:r>
    </w:p>
    <w:p w14:paraId="0818F391" w14:textId="68F8433C" w:rsidR="00420807" w:rsidRPr="00690531" w:rsidRDefault="008930FC" w:rsidP="00B71A5C">
      <w:pPr>
        <w:rPr>
          <w:rFonts w:ascii="Arial" w:hAnsi="Arial" w:cs="Arial"/>
          <w:sz w:val="24"/>
          <w:szCs w:val="24"/>
        </w:rPr>
      </w:pPr>
      <w:r w:rsidRPr="00690531">
        <w:rPr>
          <w:rFonts w:ascii="Arial" w:hAnsi="Arial" w:cs="Arial"/>
          <w:sz w:val="24"/>
          <w:szCs w:val="24"/>
        </w:rPr>
        <w:lastRenderedPageBreak/>
        <w:t xml:space="preserve">The aim of this </w:t>
      </w:r>
      <w:r w:rsidR="4E2B97F4" w:rsidRPr="00690531">
        <w:rPr>
          <w:rFonts w:ascii="Arial" w:hAnsi="Arial" w:cs="Arial"/>
          <w:sz w:val="24"/>
          <w:szCs w:val="24"/>
        </w:rPr>
        <w:t>short</w:t>
      </w:r>
      <w:r w:rsidRPr="00690531">
        <w:rPr>
          <w:rFonts w:ascii="Arial" w:hAnsi="Arial" w:cs="Arial"/>
          <w:sz w:val="24"/>
          <w:szCs w:val="24"/>
        </w:rPr>
        <w:t xml:space="preserve"> </w:t>
      </w:r>
      <w:r w:rsidR="006314BC" w:rsidRPr="00690531">
        <w:rPr>
          <w:rFonts w:ascii="Arial" w:hAnsi="Arial" w:cs="Arial"/>
          <w:sz w:val="24"/>
          <w:szCs w:val="24"/>
        </w:rPr>
        <w:t>blog</w:t>
      </w:r>
      <w:r w:rsidRPr="00690531">
        <w:rPr>
          <w:rFonts w:ascii="Arial" w:hAnsi="Arial" w:cs="Arial"/>
          <w:sz w:val="24"/>
          <w:szCs w:val="24"/>
        </w:rPr>
        <w:t xml:space="preserve"> is to add a useful term, </w:t>
      </w:r>
      <w:r w:rsidRPr="00690531">
        <w:rPr>
          <w:rFonts w:ascii="Arial" w:hAnsi="Arial" w:cs="Arial"/>
          <w:i/>
          <w:iCs/>
          <w:sz w:val="24"/>
          <w:szCs w:val="24"/>
        </w:rPr>
        <w:t>fracking</w:t>
      </w:r>
      <w:r w:rsidRPr="00690531">
        <w:rPr>
          <w:rFonts w:ascii="Arial" w:hAnsi="Arial" w:cs="Arial"/>
          <w:sz w:val="24"/>
          <w:szCs w:val="24"/>
        </w:rPr>
        <w:t>, to the list of geographically defined redistricting criteria</w:t>
      </w:r>
      <w:r w:rsidR="006314BC" w:rsidRPr="00690531">
        <w:rPr>
          <w:rFonts w:ascii="Arial" w:hAnsi="Arial" w:cs="Arial"/>
          <w:sz w:val="24"/>
          <w:szCs w:val="24"/>
        </w:rPr>
        <w:t>.</w:t>
      </w:r>
      <w:r w:rsidR="00C81623" w:rsidRPr="00690531">
        <w:rPr>
          <w:rFonts w:ascii="Arial" w:hAnsi="Arial" w:cs="Arial"/>
          <w:sz w:val="24"/>
          <w:szCs w:val="24"/>
        </w:rPr>
        <w:t xml:space="preserve"> </w:t>
      </w:r>
      <w:r w:rsidRPr="00690531">
        <w:rPr>
          <w:rFonts w:ascii="Arial" w:hAnsi="Arial" w:cs="Arial"/>
          <w:i/>
          <w:iCs/>
          <w:sz w:val="24"/>
          <w:szCs w:val="24"/>
        </w:rPr>
        <w:t>Fracking</w:t>
      </w:r>
      <w:r w:rsidRPr="00690531">
        <w:rPr>
          <w:rFonts w:ascii="Arial" w:hAnsi="Arial" w:cs="Arial"/>
          <w:sz w:val="24"/>
          <w:szCs w:val="24"/>
        </w:rPr>
        <w:t xml:space="preserve"> is defined as</w:t>
      </w:r>
      <w:r w:rsidR="00B71A5C" w:rsidRPr="00690531">
        <w:rPr>
          <w:rFonts w:ascii="Arial" w:hAnsi="Arial" w:cs="Arial"/>
          <w:sz w:val="24"/>
          <w:szCs w:val="24"/>
        </w:rPr>
        <w:t xml:space="preserve"> </w:t>
      </w:r>
      <w:r w:rsidRPr="00690531">
        <w:rPr>
          <w:rFonts w:ascii="Arial" w:hAnsi="Arial" w:cs="Arial"/>
          <w:sz w:val="24"/>
          <w:szCs w:val="24"/>
        </w:rPr>
        <w:t>a situation in which a county</w:t>
      </w:r>
      <w:r w:rsidRPr="00690531">
        <w:rPr>
          <w:rFonts w:ascii="Arial" w:hAnsi="Arial" w:cs="Arial"/>
          <w:spacing w:val="-17"/>
          <w:sz w:val="24"/>
          <w:szCs w:val="24"/>
        </w:rPr>
        <w:t xml:space="preserve"> </w:t>
      </w:r>
      <w:r w:rsidRPr="00690531">
        <w:rPr>
          <w:rFonts w:ascii="Arial" w:hAnsi="Arial" w:cs="Arial"/>
          <w:sz w:val="24"/>
          <w:szCs w:val="24"/>
        </w:rPr>
        <w:t>or</w:t>
      </w:r>
      <w:r w:rsidRPr="00690531">
        <w:rPr>
          <w:rFonts w:ascii="Arial" w:hAnsi="Arial" w:cs="Arial"/>
          <w:spacing w:val="-17"/>
          <w:sz w:val="24"/>
          <w:szCs w:val="24"/>
        </w:rPr>
        <w:t xml:space="preserve"> </w:t>
      </w:r>
      <w:r w:rsidRPr="00690531">
        <w:rPr>
          <w:rFonts w:ascii="Arial" w:hAnsi="Arial" w:cs="Arial"/>
          <w:sz w:val="24"/>
          <w:szCs w:val="24"/>
        </w:rPr>
        <w:t>city or other well-established political subunit</w:t>
      </w:r>
      <w:r w:rsidR="00B71A5C" w:rsidRPr="00690531">
        <w:rPr>
          <w:rFonts w:ascii="Arial" w:hAnsi="Arial" w:cs="Arial"/>
          <w:sz w:val="24"/>
          <w:szCs w:val="24"/>
        </w:rPr>
        <w:t xml:space="preserve"> </w:t>
      </w:r>
      <w:r w:rsidRPr="00690531">
        <w:rPr>
          <w:rFonts w:ascii="Arial" w:hAnsi="Arial" w:cs="Arial"/>
          <w:sz w:val="24"/>
          <w:szCs w:val="24"/>
        </w:rPr>
        <w:t xml:space="preserve">is found in two or more discontiguous pieces within the same legislative </w:t>
      </w:r>
      <w:r w:rsidR="00690531">
        <w:rPr>
          <w:rFonts w:ascii="Arial" w:hAnsi="Arial" w:cs="Arial"/>
          <w:sz w:val="24"/>
          <w:szCs w:val="24"/>
        </w:rPr>
        <w:t xml:space="preserve">or congressional </w:t>
      </w:r>
      <w:r w:rsidRPr="00690531">
        <w:rPr>
          <w:rFonts w:ascii="Arial" w:hAnsi="Arial" w:cs="Arial"/>
          <w:sz w:val="24"/>
          <w:szCs w:val="24"/>
        </w:rPr>
        <w:t>district</w:t>
      </w:r>
      <w:r w:rsidR="009F2124" w:rsidRPr="00690531">
        <w:rPr>
          <w:rFonts w:ascii="Arial" w:hAnsi="Arial" w:cs="Arial"/>
          <w:sz w:val="24"/>
          <w:szCs w:val="24"/>
        </w:rPr>
        <w:t>.</w:t>
      </w:r>
      <w:r w:rsidR="00C56C6E" w:rsidRPr="00690531">
        <w:rPr>
          <w:rStyle w:val="EndnoteReference"/>
          <w:rFonts w:ascii="Arial" w:hAnsi="Arial" w:cs="Arial"/>
          <w:sz w:val="24"/>
          <w:szCs w:val="24"/>
        </w:rPr>
        <w:endnoteReference w:id="2"/>
      </w:r>
      <w:r w:rsidR="00C56C6E" w:rsidRPr="00690531">
        <w:rPr>
          <w:rFonts w:ascii="Arial" w:hAnsi="Arial" w:cs="Arial"/>
          <w:sz w:val="24"/>
          <w:szCs w:val="24"/>
        </w:rPr>
        <w:t xml:space="preserve"> </w:t>
      </w:r>
      <w:r w:rsidR="009F2124" w:rsidRPr="00690531">
        <w:rPr>
          <w:rFonts w:ascii="Arial" w:hAnsi="Arial" w:cs="Arial"/>
          <w:sz w:val="24"/>
          <w:szCs w:val="24"/>
        </w:rPr>
        <w:t xml:space="preserve">This criterion has been identified by </w:t>
      </w:r>
      <w:r w:rsidR="001E3533" w:rsidRPr="00690531">
        <w:rPr>
          <w:rFonts w:ascii="Arial" w:hAnsi="Arial" w:cs="Arial"/>
          <w:sz w:val="24"/>
          <w:szCs w:val="24"/>
        </w:rPr>
        <w:t xml:space="preserve">some </w:t>
      </w:r>
      <w:r w:rsidR="009F2124" w:rsidRPr="00690531">
        <w:rPr>
          <w:rFonts w:ascii="Arial" w:hAnsi="Arial" w:cs="Arial"/>
          <w:sz w:val="24"/>
          <w:szCs w:val="24"/>
        </w:rPr>
        <w:t>courts</w:t>
      </w:r>
      <w:r w:rsidR="00224253" w:rsidRPr="00690531">
        <w:rPr>
          <w:rFonts w:ascii="Arial" w:hAnsi="Arial" w:cs="Arial"/>
          <w:sz w:val="24"/>
          <w:szCs w:val="24"/>
        </w:rPr>
        <w:t xml:space="preserve"> and </w:t>
      </w:r>
      <w:r w:rsidR="058EAB29" w:rsidRPr="00690531">
        <w:rPr>
          <w:rFonts w:ascii="Arial" w:hAnsi="Arial" w:cs="Arial"/>
          <w:sz w:val="24"/>
          <w:szCs w:val="24"/>
        </w:rPr>
        <w:t>legislatures but</w:t>
      </w:r>
      <w:r w:rsidR="009F2124" w:rsidRPr="00690531">
        <w:rPr>
          <w:rFonts w:ascii="Arial" w:hAnsi="Arial" w:cs="Arial"/>
          <w:sz w:val="24"/>
          <w:szCs w:val="24"/>
        </w:rPr>
        <w:t xml:space="preserve"> had</w:t>
      </w:r>
      <w:r w:rsidR="00B71A5C" w:rsidRPr="00690531">
        <w:rPr>
          <w:rFonts w:ascii="Arial" w:hAnsi="Arial" w:cs="Arial"/>
          <w:sz w:val="24"/>
          <w:szCs w:val="24"/>
        </w:rPr>
        <w:t xml:space="preserve"> </w:t>
      </w:r>
      <w:r w:rsidR="009F2124" w:rsidRPr="00690531">
        <w:rPr>
          <w:rFonts w:ascii="Arial" w:hAnsi="Arial" w:cs="Arial"/>
          <w:sz w:val="24"/>
          <w:szCs w:val="24"/>
        </w:rPr>
        <w:t>never been given a name</w:t>
      </w:r>
      <w:r w:rsidR="00420807" w:rsidRPr="00690531">
        <w:rPr>
          <w:rFonts w:ascii="Arial" w:hAnsi="Arial" w:cs="Arial"/>
          <w:sz w:val="24"/>
          <w:szCs w:val="24"/>
        </w:rPr>
        <w:t>.</w:t>
      </w:r>
      <w:r w:rsidR="00B71A5C" w:rsidRPr="00690531">
        <w:rPr>
          <w:rFonts w:ascii="Arial" w:hAnsi="Arial" w:cs="Arial"/>
          <w:sz w:val="24"/>
          <w:szCs w:val="24"/>
        </w:rPr>
        <w:t xml:space="preserve"> </w:t>
      </w:r>
      <w:r w:rsidR="00420807" w:rsidRPr="00690531">
        <w:rPr>
          <w:rFonts w:ascii="Arial" w:hAnsi="Arial" w:cs="Arial"/>
          <w:sz w:val="24"/>
          <w:szCs w:val="24"/>
        </w:rPr>
        <w:t xml:space="preserve">For example, in </w:t>
      </w:r>
      <w:r w:rsidR="00420807" w:rsidRPr="00690531">
        <w:rPr>
          <w:rFonts w:ascii="Arial" w:hAnsi="Arial" w:cs="Arial"/>
          <w:i/>
          <w:iCs/>
          <w:sz w:val="24"/>
          <w:szCs w:val="24"/>
        </w:rPr>
        <w:t xml:space="preserve">Common Cause </w:t>
      </w:r>
      <w:r w:rsidR="00420807" w:rsidRPr="00690531">
        <w:rPr>
          <w:rFonts w:ascii="Arial" w:hAnsi="Arial" w:cs="Arial"/>
          <w:i/>
          <w:iCs/>
          <w:spacing w:val="-6"/>
          <w:sz w:val="24"/>
          <w:szCs w:val="24"/>
        </w:rPr>
        <w:t xml:space="preserve">v. </w:t>
      </w:r>
      <w:r w:rsidR="00420807" w:rsidRPr="00690531">
        <w:rPr>
          <w:rFonts w:ascii="Arial" w:hAnsi="Arial" w:cs="Arial"/>
          <w:i/>
          <w:iCs/>
          <w:sz w:val="24"/>
          <w:szCs w:val="24"/>
        </w:rPr>
        <w:t xml:space="preserve">Rucho </w:t>
      </w:r>
      <w:r w:rsidR="00420807" w:rsidRPr="00690531">
        <w:rPr>
          <w:rFonts w:ascii="Arial" w:hAnsi="Arial" w:cs="Arial"/>
          <w:sz w:val="24"/>
          <w:szCs w:val="24"/>
        </w:rPr>
        <w:t>No</w:t>
      </w:r>
      <w:r w:rsidR="7858BCD2" w:rsidRPr="00690531">
        <w:rPr>
          <w:rFonts w:ascii="Arial" w:hAnsi="Arial" w:cs="Arial"/>
          <w:sz w:val="24"/>
          <w:szCs w:val="24"/>
        </w:rPr>
        <w:t>.</w:t>
      </w:r>
      <w:r w:rsidR="00420807" w:rsidRPr="00690531">
        <w:rPr>
          <w:rFonts w:ascii="Arial" w:hAnsi="Arial" w:cs="Arial"/>
          <w:sz w:val="24"/>
          <w:szCs w:val="24"/>
        </w:rPr>
        <w:t xml:space="preserve"> 1:16-CV-1026 (U.S. District Court, Middle District of North Carolina, </w:t>
      </w:r>
      <w:bookmarkStart w:id="0" w:name="_bookmark17"/>
      <w:bookmarkEnd w:id="0"/>
      <w:r w:rsidR="00420807" w:rsidRPr="00690531">
        <w:rPr>
          <w:rFonts w:ascii="Arial" w:hAnsi="Arial" w:cs="Arial"/>
          <w:sz w:val="24"/>
          <w:szCs w:val="24"/>
        </w:rPr>
        <w:t>2018, slip op at p. 105 [p.</w:t>
      </w:r>
      <w:r w:rsidR="00420807" w:rsidRPr="00690531">
        <w:rPr>
          <w:rFonts w:ascii="Arial" w:hAnsi="Arial" w:cs="Arial"/>
          <w:spacing w:val="8"/>
          <w:sz w:val="24"/>
          <w:szCs w:val="24"/>
        </w:rPr>
        <w:t xml:space="preserve"> </w:t>
      </w:r>
      <w:r w:rsidR="00420807" w:rsidRPr="00690531">
        <w:rPr>
          <w:rFonts w:ascii="Arial" w:hAnsi="Arial" w:cs="Arial"/>
          <w:sz w:val="24"/>
          <w:szCs w:val="24"/>
        </w:rPr>
        <w:t>194]</w:t>
      </w:r>
      <w:r w:rsidR="00224253" w:rsidRPr="00690531">
        <w:rPr>
          <w:rFonts w:ascii="Arial" w:hAnsi="Arial" w:cs="Arial"/>
          <w:sz w:val="24"/>
          <w:szCs w:val="24"/>
        </w:rPr>
        <w:t>)</w:t>
      </w:r>
      <w:r w:rsidR="00250995" w:rsidRPr="00690531">
        <w:rPr>
          <w:rFonts w:ascii="Arial" w:hAnsi="Arial" w:cs="Arial"/>
          <w:sz w:val="24"/>
          <w:szCs w:val="24"/>
        </w:rPr>
        <w:t xml:space="preserve"> the North Carolina legislature is quoted as asserting that one of the districting criteria that it implicitly relied upon was that “a district line should not traverse a county line more than once.”</w:t>
      </w:r>
      <w:r w:rsidR="00B71A5C" w:rsidRPr="00690531">
        <w:rPr>
          <w:rFonts w:ascii="Arial" w:hAnsi="Arial" w:cs="Arial"/>
          <w:sz w:val="24"/>
          <w:szCs w:val="24"/>
        </w:rPr>
        <w:t xml:space="preserve"> </w:t>
      </w:r>
    </w:p>
    <w:p w14:paraId="0F1EFF47" w14:textId="562DDEEB" w:rsidR="00CA05B6" w:rsidRPr="00690531" w:rsidRDefault="00250995" w:rsidP="003760A1">
      <w:pPr>
        <w:rPr>
          <w:rFonts w:ascii="Arial" w:hAnsi="Arial" w:cs="Arial"/>
          <w:sz w:val="24"/>
          <w:szCs w:val="24"/>
        </w:rPr>
      </w:pPr>
      <w:r w:rsidRPr="00690531">
        <w:rPr>
          <w:rFonts w:ascii="Arial" w:hAnsi="Arial" w:cs="Arial"/>
          <w:sz w:val="24"/>
          <w:szCs w:val="24"/>
        </w:rPr>
        <w:t>This</w:t>
      </w:r>
      <w:r w:rsidR="00B71A5C" w:rsidRPr="00690531">
        <w:rPr>
          <w:rFonts w:ascii="Arial" w:hAnsi="Arial" w:cs="Arial"/>
          <w:sz w:val="24"/>
          <w:szCs w:val="24"/>
        </w:rPr>
        <w:t xml:space="preserve"> </w:t>
      </w:r>
      <w:r w:rsidRPr="00690531">
        <w:rPr>
          <w:rFonts w:ascii="Arial" w:hAnsi="Arial" w:cs="Arial"/>
          <w:sz w:val="24"/>
          <w:szCs w:val="24"/>
        </w:rPr>
        <w:t xml:space="preserve">criterion </w:t>
      </w:r>
      <w:r w:rsidR="00420807" w:rsidRPr="00690531">
        <w:rPr>
          <w:rFonts w:ascii="Arial" w:hAnsi="Arial" w:cs="Arial"/>
          <w:sz w:val="24"/>
          <w:szCs w:val="24"/>
        </w:rPr>
        <w:t>was first</w:t>
      </w:r>
      <w:r w:rsidR="00B71A5C" w:rsidRPr="00690531">
        <w:rPr>
          <w:rFonts w:ascii="Arial" w:hAnsi="Arial" w:cs="Arial"/>
          <w:sz w:val="24"/>
          <w:szCs w:val="24"/>
        </w:rPr>
        <w:t xml:space="preserve"> </w:t>
      </w:r>
      <w:r w:rsidR="009F2124" w:rsidRPr="00690531">
        <w:rPr>
          <w:rFonts w:ascii="Arial" w:hAnsi="Arial" w:cs="Arial"/>
          <w:sz w:val="24"/>
          <w:szCs w:val="24"/>
        </w:rPr>
        <w:t xml:space="preserve">labeled “fracking” </w:t>
      </w:r>
      <w:r w:rsidR="00B71A5C" w:rsidRPr="00690531">
        <w:rPr>
          <w:rFonts w:ascii="Arial" w:hAnsi="Arial" w:cs="Arial"/>
          <w:sz w:val="24"/>
          <w:szCs w:val="24"/>
        </w:rPr>
        <w:t>by</w:t>
      </w:r>
      <w:r w:rsidR="009F2124" w:rsidRPr="00690531">
        <w:rPr>
          <w:rFonts w:ascii="Arial" w:hAnsi="Arial" w:cs="Arial"/>
          <w:sz w:val="24"/>
          <w:szCs w:val="24"/>
        </w:rPr>
        <w:t xml:space="preserve"> </w:t>
      </w:r>
      <w:r w:rsidR="00224253" w:rsidRPr="00690531">
        <w:rPr>
          <w:rFonts w:ascii="Arial" w:hAnsi="Arial" w:cs="Arial"/>
          <w:sz w:val="24"/>
          <w:szCs w:val="24"/>
        </w:rPr>
        <w:t>Bernard Grofman</w:t>
      </w:r>
      <w:r w:rsidR="00B71A5C" w:rsidRPr="00690531">
        <w:rPr>
          <w:rFonts w:ascii="Arial" w:hAnsi="Arial" w:cs="Arial"/>
          <w:sz w:val="24"/>
          <w:szCs w:val="24"/>
        </w:rPr>
        <w:t xml:space="preserve"> in his special master report in the </w:t>
      </w:r>
      <w:r w:rsidR="00B71A5C" w:rsidRPr="00690531">
        <w:rPr>
          <w:rFonts w:ascii="Arial" w:hAnsi="Arial" w:cs="Arial"/>
          <w:i/>
          <w:iCs/>
          <w:sz w:val="24"/>
          <w:szCs w:val="24"/>
        </w:rPr>
        <w:t>Bethune-Hill</w:t>
      </w:r>
      <w:r w:rsidR="00B71A5C" w:rsidRPr="00690531">
        <w:rPr>
          <w:rFonts w:ascii="Arial" w:hAnsi="Arial" w:cs="Arial"/>
          <w:sz w:val="24"/>
          <w:szCs w:val="24"/>
        </w:rPr>
        <w:t xml:space="preserve"> racial gerrymandering case</w:t>
      </w:r>
      <w:r w:rsidR="00420807" w:rsidRPr="00690531">
        <w:rPr>
          <w:rFonts w:ascii="Arial" w:hAnsi="Arial" w:cs="Arial"/>
          <w:sz w:val="24"/>
          <w:szCs w:val="24"/>
        </w:rPr>
        <w:t>.</w:t>
      </w:r>
      <w:r w:rsidR="00C56C6E" w:rsidRPr="00690531">
        <w:rPr>
          <w:rStyle w:val="EndnoteReference"/>
          <w:rFonts w:ascii="Arial" w:hAnsi="Arial" w:cs="Arial"/>
          <w:sz w:val="24"/>
          <w:szCs w:val="24"/>
        </w:rPr>
        <w:endnoteReference w:id="3"/>
      </w:r>
      <w:r w:rsidR="00C56C6E" w:rsidRPr="00690531">
        <w:rPr>
          <w:rFonts w:ascii="Arial" w:hAnsi="Arial" w:cs="Arial"/>
          <w:sz w:val="24"/>
          <w:szCs w:val="24"/>
        </w:rPr>
        <w:t xml:space="preserve"> </w:t>
      </w:r>
      <w:r w:rsidR="008D017B" w:rsidRPr="00690531">
        <w:rPr>
          <w:rFonts w:ascii="Arial" w:hAnsi="Arial" w:cs="Arial"/>
          <w:i/>
          <w:iCs/>
          <w:sz w:val="24"/>
          <w:szCs w:val="24"/>
        </w:rPr>
        <w:t>F</w:t>
      </w:r>
      <w:r w:rsidR="009F2124" w:rsidRPr="00690531">
        <w:rPr>
          <w:rFonts w:ascii="Arial" w:hAnsi="Arial" w:cs="Arial"/>
          <w:i/>
          <w:iCs/>
          <w:sz w:val="24"/>
          <w:szCs w:val="24"/>
        </w:rPr>
        <w:t>racking</w:t>
      </w:r>
      <w:r w:rsidR="009F2124" w:rsidRPr="00690531">
        <w:rPr>
          <w:rFonts w:ascii="Arial" w:hAnsi="Arial" w:cs="Arial"/>
          <w:sz w:val="24"/>
          <w:szCs w:val="24"/>
        </w:rPr>
        <w:t xml:space="preserve"> can be used as a gerrymandering tool</w:t>
      </w:r>
      <w:r w:rsidR="00420807" w:rsidRPr="00690531">
        <w:rPr>
          <w:rFonts w:ascii="Arial" w:hAnsi="Arial" w:cs="Arial"/>
          <w:sz w:val="24"/>
          <w:szCs w:val="24"/>
        </w:rPr>
        <w:t>,</w:t>
      </w:r>
      <w:r w:rsidR="009F2124" w:rsidRPr="00690531">
        <w:rPr>
          <w:rFonts w:ascii="Arial" w:hAnsi="Arial" w:cs="Arial"/>
          <w:sz w:val="24"/>
          <w:szCs w:val="24"/>
        </w:rPr>
        <w:t xml:space="preserve"> </w:t>
      </w:r>
      <w:r w:rsidR="00353A64" w:rsidRPr="00690531">
        <w:rPr>
          <w:rFonts w:ascii="Arial" w:hAnsi="Arial" w:cs="Arial"/>
          <w:sz w:val="24"/>
          <w:szCs w:val="24"/>
        </w:rPr>
        <w:t xml:space="preserve">with fracking that involves pieces whose racial or partisan composition differs from that of the geographic area between the fracks. </w:t>
      </w:r>
      <w:r w:rsidR="00741296" w:rsidRPr="00690531">
        <w:rPr>
          <w:rFonts w:ascii="Arial" w:hAnsi="Arial" w:cs="Arial"/>
          <w:sz w:val="24"/>
          <w:szCs w:val="24"/>
        </w:rPr>
        <w:t>T</w:t>
      </w:r>
      <w:r w:rsidR="009F2124" w:rsidRPr="00690531">
        <w:rPr>
          <w:rFonts w:ascii="Arial" w:hAnsi="Arial" w:cs="Arial"/>
          <w:sz w:val="24"/>
          <w:szCs w:val="24"/>
        </w:rPr>
        <w:t xml:space="preserve">he </w:t>
      </w:r>
      <w:r w:rsidR="00420807" w:rsidRPr="00690531">
        <w:rPr>
          <w:rFonts w:ascii="Arial" w:hAnsi="Arial" w:cs="Arial"/>
          <w:sz w:val="24"/>
          <w:szCs w:val="24"/>
        </w:rPr>
        <w:t>name</w:t>
      </w:r>
      <w:r w:rsidR="009F2124" w:rsidRPr="00690531">
        <w:rPr>
          <w:rFonts w:ascii="Arial" w:hAnsi="Arial" w:cs="Arial"/>
          <w:sz w:val="24"/>
          <w:szCs w:val="24"/>
        </w:rPr>
        <w:t xml:space="preserve"> was chosen to resonate with other terms in the redistricting literature that have been applied in the gerrymandering context: namely, </w:t>
      </w:r>
      <w:r w:rsidR="009F2124" w:rsidRPr="00690531">
        <w:rPr>
          <w:rFonts w:ascii="Arial" w:hAnsi="Arial" w:cs="Arial"/>
          <w:i/>
          <w:iCs/>
          <w:sz w:val="24"/>
          <w:szCs w:val="24"/>
        </w:rPr>
        <w:t>cracking, stacking</w:t>
      </w:r>
      <w:r w:rsidR="009F2124" w:rsidRPr="00690531">
        <w:rPr>
          <w:rFonts w:ascii="Arial" w:hAnsi="Arial" w:cs="Arial"/>
          <w:sz w:val="24"/>
          <w:szCs w:val="24"/>
        </w:rPr>
        <w:t xml:space="preserve">, and </w:t>
      </w:r>
      <w:r w:rsidR="009F2124" w:rsidRPr="00690531">
        <w:rPr>
          <w:rFonts w:ascii="Arial" w:hAnsi="Arial" w:cs="Arial"/>
          <w:i/>
          <w:iCs/>
          <w:sz w:val="24"/>
          <w:szCs w:val="24"/>
        </w:rPr>
        <w:t>packing</w:t>
      </w:r>
      <w:r w:rsidR="00353A64" w:rsidRPr="00690531">
        <w:rPr>
          <w:rFonts w:ascii="Arial" w:hAnsi="Arial" w:cs="Arial"/>
          <w:sz w:val="24"/>
          <w:szCs w:val="24"/>
        </w:rPr>
        <w:t>.</w:t>
      </w:r>
      <w:r w:rsidR="00C56C6E" w:rsidRPr="00690531">
        <w:rPr>
          <w:rStyle w:val="EndnoteReference"/>
          <w:rFonts w:ascii="Arial" w:hAnsi="Arial" w:cs="Arial"/>
          <w:sz w:val="24"/>
          <w:szCs w:val="24"/>
        </w:rPr>
        <w:endnoteReference w:id="4"/>
      </w:r>
      <w:r w:rsidR="00C56C6E" w:rsidRPr="00690531">
        <w:rPr>
          <w:rFonts w:ascii="Arial" w:hAnsi="Arial" w:cs="Arial"/>
          <w:sz w:val="24"/>
          <w:szCs w:val="24"/>
        </w:rPr>
        <w:t xml:space="preserve"> </w:t>
      </w:r>
      <w:r w:rsidR="00051A0C" w:rsidRPr="00690531">
        <w:rPr>
          <w:rFonts w:ascii="Arial" w:hAnsi="Arial" w:cs="Arial"/>
          <w:sz w:val="24"/>
          <w:szCs w:val="24"/>
        </w:rPr>
        <w:t xml:space="preserve">As the </w:t>
      </w:r>
      <w:r w:rsidR="00CA668D" w:rsidRPr="00690531">
        <w:rPr>
          <w:rFonts w:ascii="Arial" w:hAnsi="Arial" w:cs="Arial"/>
          <w:sz w:val="24"/>
          <w:szCs w:val="24"/>
        </w:rPr>
        <w:t xml:space="preserve">earlier </w:t>
      </w:r>
      <w:r w:rsidR="00051A0C" w:rsidRPr="00690531">
        <w:rPr>
          <w:rFonts w:ascii="Arial" w:hAnsi="Arial" w:cs="Arial"/>
          <w:sz w:val="24"/>
          <w:szCs w:val="24"/>
        </w:rPr>
        <w:t xml:space="preserve">quote from the North Carolina legislature indicates, </w:t>
      </w:r>
      <w:r w:rsidR="00051A0C" w:rsidRPr="00690531">
        <w:rPr>
          <w:rFonts w:ascii="Arial" w:hAnsi="Arial" w:cs="Arial"/>
          <w:i/>
          <w:iCs/>
          <w:sz w:val="24"/>
          <w:szCs w:val="24"/>
        </w:rPr>
        <w:t>fracking</w:t>
      </w:r>
      <w:r w:rsidR="00051A0C" w:rsidRPr="00690531">
        <w:rPr>
          <w:rFonts w:ascii="Arial" w:hAnsi="Arial" w:cs="Arial"/>
          <w:sz w:val="24"/>
          <w:szCs w:val="24"/>
        </w:rPr>
        <w:t xml:space="preserve"> is a feature of maps that is regarded as undesirable. At best </w:t>
      </w:r>
      <w:r w:rsidR="00EF42DD" w:rsidRPr="00690531">
        <w:rPr>
          <w:rFonts w:ascii="Arial" w:hAnsi="Arial" w:cs="Arial"/>
          <w:i/>
          <w:iCs/>
          <w:sz w:val="24"/>
          <w:szCs w:val="24"/>
        </w:rPr>
        <w:t>fracking</w:t>
      </w:r>
      <w:r w:rsidR="00051A0C" w:rsidRPr="00690531">
        <w:rPr>
          <w:rFonts w:ascii="Arial" w:hAnsi="Arial" w:cs="Arial"/>
          <w:sz w:val="24"/>
          <w:szCs w:val="24"/>
        </w:rPr>
        <w:t xml:space="preserve"> indicates sloppy redistricting practices, since</w:t>
      </w:r>
      <w:r w:rsidR="00B71A5C" w:rsidRPr="00690531">
        <w:rPr>
          <w:rFonts w:ascii="Arial" w:hAnsi="Arial" w:cs="Arial"/>
          <w:sz w:val="24"/>
          <w:szCs w:val="24"/>
        </w:rPr>
        <w:t xml:space="preserve"> </w:t>
      </w:r>
      <w:r w:rsidR="00964648" w:rsidRPr="00690531">
        <w:rPr>
          <w:rFonts w:ascii="Arial" w:hAnsi="Arial" w:cs="Arial"/>
          <w:sz w:val="24"/>
          <w:szCs w:val="24"/>
        </w:rPr>
        <w:t xml:space="preserve">(a) </w:t>
      </w:r>
      <w:r w:rsidR="00051A0C" w:rsidRPr="00690531">
        <w:rPr>
          <w:rFonts w:ascii="Arial" w:hAnsi="Arial" w:cs="Arial"/>
          <w:sz w:val="24"/>
          <w:szCs w:val="24"/>
        </w:rPr>
        <w:t xml:space="preserve">there is never a need for </w:t>
      </w:r>
      <w:r w:rsidR="00051A0C" w:rsidRPr="00690531">
        <w:rPr>
          <w:rFonts w:ascii="Arial" w:hAnsi="Arial" w:cs="Arial"/>
          <w:i/>
          <w:iCs/>
          <w:sz w:val="24"/>
          <w:szCs w:val="24"/>
        </w:rPr>
        <w:t>fracking</w:t>
      </w:r>
      <w:r w:rsidR="00051A0C" w:rsidRPr="00690531">
        <w:rPr>
          <w:rFonts w:ascii="Arial" w:hAnsi="Arial" w:cs="Arial"/>
          <w:sz w:val="24"/>
          <w:szCs w:val="24"/>
        </w:rPr>
        <w:t xml:space="preserve"> to satisfy population constraints;</w:t>
      </w:r>
      <w:r w:rsidR="00B71A5C" w:rsidRPr="00690531">
        <w:rPr>
          <w:rFonts w:ascii="Arial" w:hAnsi="Arial" w:cs="Arial"/>
          <w:sz w:val="24"/>
          <w:szCs w:val="24"/>
        </w:rPr>
        <w:t xml:space="preserve"> </w:t>
      </w:r>
      <w:r w:rsidR="00964648" w:rsidRPr="00690531">
        <w:rPr>
          <w:rFonts w:ascii="Arial" w:hAnsi="Arial" w:cs="Arial"/>
          <w:sz w:val="24"/>
          <w:szCs w:val="24"/>
        </w:rPr>
        <w:t>and</w:t>
      </w:r>
      <w:r w:rsidR="00B71A5C" w:rsidRPr="00690531">
        <w:rPr>
          <w:rFonts w:ascii="Arial" w:hAnsi="Arial" w:cs="Arial"/>
          <w:sz w:val="24"/>
          <w:szCs w:val="24"/>
        </w:rPr>
        <w:t xml:space="preserve"> </w:t>
      </w:r>
      <w:r w:rsidR="00964648" w:rsidRPr="00690531">
        <w:rPr>
          <w:rFonts w:ascii="Arial" w:hAnsi="Arial" w:cs="Arial"/>
          <w:sz w:val="24"/>
          <w:szCs w:val="24"/>
        </w:rPr>
        <w:t xml:space="preserve">(b) </w:t>
      </w:r>
      <w:r w:rsidR="00964648" w:rsidRPr="00690531">
        <w:rPr>
          <w:rFonts w:ascii="Arial" w:hAnsi="Arial" w:cs="Arial"/>
          <w:i/>
          <w:iCs/>
          <w:sz w:val="24"/>
          <w:szCs w:val="24"/>
        </w:rPr>
        <w:t xml:space="preserve">fracking </w:t>
      </w:r>
      <w:r w:rsidR="00964648" w:rsidRPr="00690531">
        <w:rPr>
          <w:rFonts w:ascii="Arial" w:hAnsi="Arial" w:cs="Arial"/>
          <w:sz w:val="24"/>
          <w:szCs w:val="24"/>
        </w:rPr>
        <w:t>limits the extent to which the boundaries of a district can be easily described, i.e., if affects what Grofman (1993) referred to as the “cognizability”</w:t>
      </w:r>
      <w:r w:rsidR="00B71A5C" w:rsidRPr="00690531">
        <w:rPr>
          <w:rFonts w:ascii="Arial" w:hAnsi="Arial" w:cs="Arial"/>
          <w:sz w:val="24"/>
          <w:szCs w:val="24"/>
        </w:rPr>
        <w:t xml:space="preserve"> </w:t>
      </w:r>
      <w:r w:rsidR="00964648" w:rsidRPr="00690531">
        <w:rPr>
          <w:rFonts w:ascii="Arial" w:hAnsi="Arial" w:cs="Arial"/>
          <w:sz w:val="24"/>
          <w:szCs w:val="24"/>
        </w:rPr>
        <w:t>of constituency</w:t>
      </w:r>
      <w:r w:rsidR="00B71A5C" w:rsidRPr="00690531">
        <w:rPr>
          <w:rFonts w:ascii="Arial" w:hAnsi="Arial" w:cs="Arial"/>
          <w:sz w:val="24"/>
          <w:szCs w:val="24"/>
        </w:rPr>
        <w:t xml:space="preserve"> </w:t>
      </w:r>
      <w:r w:rsidR="00964648" w:rsidRPr="00690531">
        <w:rPr>
          <w:rFonts w:ascii="Arial" w:hAnsi="Arial" w:cs="Arial"/>
          <w:sz w:val="24"/>
          <w:szCs w:val="24"/>
        </w:rPr>
        <w:t>boundaries.</w:t>
      </w:r>
      <w:r w:rsidR="00C56C6E" w:rsidRPr="00690531">
        <w:rPr>
          <w:rStyle w:val="EndnoteReference"/>
          <w:rFonts w:ascii="Arial" w:hAnsi="Arial" w:cs="Arial"/>
          <w:sz w:val="24"/>
          <w:szCs w:val="24"/>
        </w:rPr>
        <w:endnoteReference w:id="5"/>
      </w:r>
      <w:r w:rsidR="00C56C6E" w:rsidRPr="00690531">
        <w:rPr>
          <w:rFonts w:ascii="Arial" w:hAnsi="Arial" w:cs="Arial"/>
          <w:sz w:val="24"/>
          <w:szCs w:val="24"/>
        </w:rPr>
        <w:t xml:space="preserve"> </w:t>
      </w:r>
      <w:r w:rsidR="001D01A2" w:rsidRPr="00690531">
        <w:rPr>
          <w:rFonts w:ascii="Arial" w:hAnsi="Arial" w:cs="Arial"/>
          <w:sz w:val="24"/>
          <w:szCs w:val="24"/>
        </w:rPr>
        <w:t>And</w:t>
      </w:r>
      <w:r w:rsidR="005019F4" w:rsidRPr="00690531">
        <w:rPr>
          <w:rFonts w:ascii="Arial" w:hAnsi="Arial" w:cs="Arial"/>
          <w:sz w:val="24"/>
          <w:szCs w:val="24"/>
        </w:rPr>
        <w:t xml:space="preserve"> </w:t>
      </w:r>
      <w:r w:rsidR="001D01A2" w:rsidRPr="00690531">
        <w:rPr>
          <w:rFonts w:ascii="Arial" w:hAnsi="Arial" w:cs="Arial"/>
          <w:sz w:val="24"/>
          <w:szCs w:val="24"/>
        </w:rPr>
        <w:t>(</w:t>
      </w:r>
      <w:r w:rsidR="005019F4" w:rsidRPr="00690531">
        <w:rPr>
          <w:rFonts w:ascii="Arial" w:hAnsi="Arial" w:cs="Arial"/>
          <w:sz w:val="24"/>
          <w:szCs w:val="24"/>
        </w:rPr>
        <w:t>c) a</w:t>
      </w:r>
      <w:r w:rsidR="001D01A2" w:rsidRPr="00690531">
        <w:rPr>
          <w:rFonts w:ascii="Arial" w:hAnsi="Arial" w:cs="Arial"/>
          <w:sz w:val="24"/>
          <w:szCs w:val="24"/>
        </w:rPr>
        <w:t xml:space="preserve">voiding </w:t>
      </w:r>
      <w:r w:rsidR="001D01A2" w:rsidRPr="00690531">
        <w:rPr>
          <w:rFonts w:ascii="Arial" w:hAnsi="Arial" w:cs="Arial"/>
          <w:i/>
          <w:iCs/>
          <w:sz w:val="24"/>
          <w:szCs w:val="24"/>
        </w:rPr>
        <w:t>fracking</w:t>
      </w:r>
      <w:r w:rsidR="001D01A2" w:rsidRPr="00690531">
        <w:rPr>
          <w:rFonts w:ascii="Arial" w:hAnsi="Arial" w:cs="Arial"/>
          <w:sz w:val="24"/>
          <w:szCs w:val="24"/>
        </w:rPr>
        <w:t xml:space="preserve"> also has the practical benefit of making election administration simpler by limiting the number of different ballots offered in geographical</w:t>
      </w:r>
      <w:r w:rsidR="00C20E8F" w:rsidRPr="00690531">
        <w:rPr>
          <w:rFonts w:ascii="Arial" w:hAnsi="Arial" w:cs="Arial"/>
          <w:sz w:val="24"/>
          <w:szCs w:val="24"/>
        </w:rPr>
        <w:t xml:space="preserve"> </w:t>
      </w:r>
      <w:r w:rsidR="001D01A2" w:rsidRPr="00690531">
        <w:rPr>
          <w:rFonts w:ascii="Arial" w:hAnsi="Arial" w:cs="Arial"/>
          <w:sz w:val="24"/>
          <w:szCs w:val="24"/>
        </w:rPr>
        <w:t>proximate areas.</w:t>
      </w:r>
      <w:r w:rsidR="00C56C6E" w:rsidRPr="00690531">
        <w:rPr>
          <w:rStyle w:val="EndnoteReference"/>
          <w:rFonts w:ascii="Arial" w:hAnsi="Arial" w:cs="Arial"/>
          <w:sz w:val="24"/>
          <w:szCs w:val="24"/>
        </w:rPr>
        <w:endnoteReference w:id="6"/>
      </w:r>
      <w:r w:rsidR="00C56C6E" w:rsidRPr="00690531">
        <w:rPr>
          <w:rFonts w:ascii="Arial" w:hAnsi="Arial" w:cs="Arial"/>
          <w:sz w:val="24"/>
          <w:szCs w:val="24"/>
        </w:rPr>
        <w:t xml:space="preserve"> </w:t>
      </w:r>
      <w:r w:rsidR="006314BC" w:rsidRPr="00690531">
        <w:rPr>
          <w:rFonts w:ascii="Arial" w:hAnsi="Arial" w:cs="Arial"/>
          <w:sz w:val="24"/>
          <w:szCs w:val="24"/>
        </w:rPr>
        <w:t>Moreover, (</w:t>
      </w:r>
      <w:r w:rsidR="00755CB8" w:rsidRPr="00690531">
        <w:rPr>
          <w:rFonts w:ascii="Arial" w:hAnsi="Arial" w:cs="Arial"/>
          <w:sz w:val="24"/>
          <w:szCs w:val="24"/>
        </w:rPr>
        <w:t>d</w:t>
      </w:r>
      <w:r w:rsidR="006314BC" w:rsidRPr="00690531">
        <w:rPr>
          <w:rFonts w:ascii="Arial" w:hAnsi="Arial" w:cs="Arial"/>
          <w:sz w:val="24"/>
          <w:szCs w:val="24"/>
        </w:rPr>
        <w:t xml:space="preserve">) the presence of fracking suggests the possibility of intentional racial or partisan gerrymandering. </w:t>
      </w:r>
    </w:p>
    <w:p w14:paraId="6A3F7805" w14:textId="746BA5F9" w:rsidR="00353A64" w:rsidRPr="00690531" w:rsidRDefault="006314BC" w:rsidP="003760A1">
      <w:pPr>
        <w:rPr>
          <w:rFonts w:ascii="Arial" w:hAnsi="Arial" w:cs="Arial"/>
          <w:sz w:val="24"/>
          <w:szCs w:val="24"/>
        </w:rPr>
      </w:pPr>
      <w:r w:rsidRPr="00690531">
        <w:rPr>
          <w:rFonts w:ascii="Arial" w:hAnsi="Arial" w:cs="Arial"/>
          <w:sz w:val="24"/>
          <w:szCs w:val="24"/>
        </w:rPr>
        <w:t xml:space="preserve">In addition, </w:t>
      </w:r>
      <w:r w:rsidR="001D01A2" w:rsidRPr="00690531">
        <w:rPr>
          <w:rFonts w:ascii="Arial" w:hAnsi="Arial" w:cs="Arial"/>
          <w:sz w:val="24"/>
          <w:szCs w:val="24"/>
        </w:rPr>
        <w:t>(</w:t>
      </w:r>
      <w:r w:rsidRPr="00690531">
        <w:rPr>
          <w:rFonts w:ascii="Arial" w:hAnsi="Arial" w:cs="Arial"/>
          <w:sz w:val="24"/>
          <w:szCs w:val="24"/>
        </w:rPr>
        <w:t>e</w:t>
      </w:r>
      <w:r w:rsidR="001D01A2" w:rsidRPr="00690531">
        <w:rPr>
          <w:rFonts w:ascii="Arial" w:hAnsi="Arial" w:cs="Arial"/>
          <w:sz w:val="24"/>
          <w:szCs w:val="24"/>
        </w:rPr>
        <w:t>)</w:t>
      </w:r>
      <w:r w:rsidR="00C20E8F" w:rsidRPr="00690531">
        <w:rPr>
          <w:rFonts w:ascii="Arial" w:hAnsi="Arial" w:cs="Arial"/>
          <w:sz w:val="24"/>
          <w:szCs w:val="24"/>
        </w:rPr>
        <w:t xml:space="preserve"> </w:t>
      </w:r>
      <w:r w:rsidR="00353A64" w:rsidRPr="00690531">
        <w:rPr>
          <w:rFonts w:ascii="Arial" w:hAnsi="Arial" w:cs="Arial"/>
          <w:i/>
          <w:iCs/>
          <w:sz w:val="24"/>
          <w:szCs w:val="24"/>
        </w:rPr>
        <w:t>f</w:t>
      </w:r>
      <w:r w:rsidR="45BFE413" w:rsidRPr="00690531">
        <w:rPr>
          <w:rFonts w:ascii="Arial" w:hAnsi="Arial" w:cs="Arial"/>
          <w:i/>
          <w:iCs/>
          <w:sz w:val="24"/>
          <w:szCs w:val="24"/>
        </w:rPr>
        <w:t xml:space="preserve">racking </w:t>
      </w:r>
      <w:r w:rsidR="21E62807" w:rsidRPr="00690531">
        <w:rPr>
          <w:rFonts w:ascii="Arial" w:hAnsi="Arial" w:cs="Arial"/>
          <w:sz w:val="24"/>
          <w:szCs w:val="24"/>
        </w:rPr>
        <w:t xml:space="preserve">may also </w:t>
      </w:r>
      <w:r w:rsidR="005019F4" w:rsidRPr="00690531">
        <w:rPr>
          <w:rFonts w:ascii="Arial" w:hAnsi="Arial" w:cs="Arial"/>
          <w:sz w:val="24"/>
          <w:szCs w:val="24"/>
        </w:rPr>
        <w:t xml:space="preserve">directly </w:t>
      </w:r>
      <w:r w:rsidR="21E62807" w:rsidRPr="00690531">
        <w:rPr>
          <w:rFonts w:ascii="Arial" w:hAnsi="Arial" w:cs="Arial"/>
          <w:sz w:val="24"/>
          <w:szCs w:val="24"/>
        </w:rPr>
        <w:t xml:space="preserve">violate provisions of state constitutions that require </w:t>
      </w:r>
      <w:r w:rsidR="005837C0" w:rsidRPr="00690531">
        <w:rPr>
          <w:rFonts w:ascii="Arial" w:hAnsi="Arial" w:cs="Arial"/>
          <w:sz w:val="24"/>
          <w:szCs w:val="24"/>
        </w:rPr>
        <w:t xml:space="preserve">contiguous </w:t>
      </w:r>
      <w:r w:rsidR="21E62807" w:rsidRPr="00690531">
        <w:rPr>
          <w:rFonts w:ascii="Arial" w:hAnsi="Arial" w:cs="Arial"/>
          <w:sz w:val="24"/>
          <w:szCs w:val="24"/>
        </w:rPr>
        <w:t>communities of interest to remain in</w:t>
      </w:r>
      <w:r w:rsidR="00A21634" w:rsidRPr="00690531">
        <w:rPr>
          <w:rFonts w:ascii="Arial" w:hAnsi="Arial" w:cs="Arial"/>
          <w:sz w:val="24"/>
          <w:szCs w:val="24"/>
        </w:rPr>
        <w:t>tact to the greatest extent feasible</w:t>
      </w:r>
      <w:r w:rsidR="005837C0" w:rsidRPr="00690531">
        <w:rPr>
          <w:rFonts w:ascii="Arial" w:hAnsi="Arial" w:cs="Arial"/>
          <w:sz w:val="24"/>
          <w:szCs w:val="24"/>
        </w:rPr>
        <w:t xml:space="preserve">, </w:t>
      </w:r>
      <w:r w:rsidR="00741296" w:rsidRPr="00690531">
        <w:rPr>
          <w:rFonts w:ascii="Arial" w:hAnsi="Arial" w:cs="Arial"/>
          <w:sz w:val="24"/>
          <w:szCs w:val="24"/>
        </w:rPr>
        <w:t>especially when</w:t>
      </w:r>
      <w:r w:rsidR="21E62807" w:rsidRPr="00690531">
        <w:rPr>
          <w:rFonts w:ascii="Arial" w:hAnsi="Arial" w:cs="Arial"/>
          <w:sz w:val="24"/>
          <w:szCs w:val="24"/>
        </w:rPr>
        <w:t xml:space="preserve"> polit</w:t>
      </w:r>
      <w:r w:rsidR="284CBE6B" w:rsidRPr="00690531">
        <w:rPr>
          <w:rFonts w:ascii="Arial" w:hAnsi="Arial" w:cs="Arial"/>
          <w:sz w:val="24"/>
          <w:szCs w:val="24"/>
        </w:rPr>
        <w:t>ical subdivision</w:t>
      </w:r>
      <w:r w:rsidR="00353A64" w:rsidRPr="00690531">
        <w:rPr>
          <w:rFonts w:ascii="Arial" w:hAnsi="Arial" w:cs="Arial"/>
          <w:sz w:val="24"/>
          <w:szCs w:val="24"/>
        </w:rPr>
        <w:t xml:space="preserve"> boundarie</w:t>
      </w:r>
      <w:r w:rsidR="284CBE6B" w:rsidRPr="00690531">
        <w:rPr>
          <w:rFonts w:ascii="Arial" w:hAnsi="Arial" w:cs="Arial"/>
          <w:sz w:val="24"/>
          <w:szCs w:val="24"/>
        </w:rPr>
        <w:t>s may</w:t>
      </w:r>
      <w:r w:rsidR="00C20E8F" w:rsidRPr="00690531">
        <w:rPr>
          <w:rFonts w:ascii="Arial" w:hAnsi="Arial" w:cs="Arial"/>
          <w:sz w:val="24"/>
          <w:szCs w:val="24"/>
        </w:rPr>
        <w:t xml:space="preserve"> </w:t>
      </w:r>
      <w:r w:rsidR="00A21634" w:rsidRPr="00690531">
        <w:rPr>
          <w:rFonts w:ascii="Arial" w:hAnsi="Arial" w:cs="Arial"/>
          <w:sz w:val="24"/>
          <w:szCs w:val="24"/>
        </w:rPr>
        <w:t xml:space="preserve">themselves </w:t>
      </w:r>
      <w:r w:rsidR="284CBE6B" w:rsidRPr="00690531">
        <w:rPr>
          <w:rFonts w:ascii="Arial" w:hAnsi="Arial" w:cs="Arial"/>
          <w:sz w:val="24"/>
          <w:szCs w:val="24"/>
        </w:rPr>
        <w:t xml:space="preserve">be </w:t>
      </w:r>
      <w:r w:rsidR="00353A64" w:rsidRPr="00690531">
        <w:rPr>
          <w:rFonts w:ascii="Arial" w:hAnsi="Arial" w:cs="Arial"/>
          <w:sz w:val="24"/>
          <w:szCs w:val="24"/>
        </w:rPr>
        <w:t xml:space="preserve">regarded as defining </w:t>
      </w:r>
      <w:r w:rsidR="07CD23E6" w:rsidRPr="00690531">
        <w:rPr>
          <w:rFonts w:ascii="Arial" w:hAnsi="Arial" w:cs="Arial"/>
          <w:sz w:val="24"/>
          <w:szCs w:val="24"/>
        </w:rPr>
        <w:t>a</w:t>
      </w:r>
      <w:r w:rsidR="00353A64" w:rsidRPr="00690531">
        <w:rPr>
          <w:rFonts w:ascii="Arial" w:hAnsi="Arial" w:cs="Arial"/>
          <w:sz w:val="24"/>
          <w:szCs w:val="24"/>
        </w:rPr>
        <w:t>n</w:t>
      </w:r>
      <w:r w:rsidR="07CD23E6" w:rsidRPr="00690531">
        <w:rPr>
          <w:rFonts w:ascii="Arial" w:hAnsi="Arial" w:cs="Arial"/>
          <w:sz w:val="24"/>
          <w:szCs w:val="24"/>
        </w:rPr>
        <w:t xml:space="preserve"> </w:t>
      </w:r>
      <w:r w:rsidR="00353A64" w:rsidRPr="00690531">
        <w:rPr>
          <w:rFonts w:ascii="Arial" w:hAnsi="Arial" w:cs="Arial"/>
          <w:sz w:val="24"/>
          <w:szCs w:val="24"/>
        </w:rPr>
        <w:t>important</w:t>
      </w:r>
      <w:r w:rsidR="284CBE6B" w:rsidRPr="00690531">
        <w:rPr>
          <w:rFonts w:ascii="Arial" w:hAnsi="Arial" w:cs="Arial"/>
          <w:sz w:val="24"/>
          <w:szCs w:val="24"/>
        </w:rPr>
        <w:t xml:space="preserve"> </w:t>
      </w:r>
      <w:r w:rsidR="513ACAA9" w:rsidRPr="00690531">
        <w:rPr>
          <w:rFonts w:ascii="Arial" w:hAnsi="Arial" w:cs="Arial"/>
          <w:sz w:val="24"/>
          <w:szCs w:val="24"/>
        </w:rPr>
        <w:t>community</w:t>
      </w:r>
      <w:r w:rsidR="00353A64" w:rsidRPr="00690531">
        <w:rPr>
          <w:rFonts w:ascii="Arial" w:hAnsi="Arial" w:cs="Arial"/>
          <w:sz w:val="24"/>
          <w:szCs w:val="24"/>
        </w:rPr>
        <w:t xml:space="preserve"> of</w:t>
      </w:r>
      <w:r w:rsidR="0CE38ED3" w:rsidRPr="00690531">
        <w:rPr>
          <w:rFonts w:ascii="Arial" w:hAnsi="Arial" w:cs="Arial"/>
          <w:sz w:val="24"/>
          <w:szCs w:val="24"/>
        </w:rPr>
        <w:t xml:space="preserve"> interest (</w:t>
      </w:r>
      <w:r w:rsidR="001D01A2" w:rsidRPr="00690531">
        <w:rPr>
          <w:rFonts w:ascii="Arial" w:hAnsi="Arial" w:cs="Arial"/>
          <w:sz w:val="24"/>
          <w:szCs w:val="24"/>
        </w:rPr>
        <w:t xml:space="preserve">Wang et al. 2019, p. 244; </w:t>
      </w:r>
      <w:r w:rsidR="0CE38ED3" w:rsidRPr="00690531">
        <w:rPr>
          <w:rFonts w:ascii="Arial" w:hAnsi="Arial" w:cs="Arial"/>
          <w:sz w:val="24"/>
          <w:szCs w:val="24"/>
        </w:rPr>
        <w:t>Wang et al</w:t>
      </w:r>
      <w:r w:rsidR="001D01A2" w:rsidRPr="00690531">
        <w:rPr>
          <w:rFonts w:ascii="Arial" w:hAnsi="Arial" w:cs="Arial"/>
          <w:sz w:val="24"/>
          <w:szCs w:val="24"/>
        </w:rPr>
        <w:t>.</w:t>
      </w:r>
      <w:r w:rsidR="0CE38ED3" w:rsidRPr="00690531">
        <w:rPr>
          <w:rFonts w:ascii="Arial" w:hAnsi="Arial" w:cs="Arial"/>
          <w:sz w:val="24"/>
          <w:szCs w:val="24"/>
        </w:rPr>
        <w:t xml:space="preserve"> 2022)</w:t>
      </w:r>
      <w:r w:rsidR="513ACAA9" w:rsidRPr="00690531">
        <w:rPr>
          <w:rFonts w:ascii="Arial" w:hAnsi="Arial" w:cs="Arial"/>
          <w:sz w:val="24"/>
          <w:szCs w:val="24"/>
        </w:rPr>
        <w:t>.</w:t>
      </w:r>
      <w:r w:rsidR="284CBE6B" w:rsidRPr="00690531">
        <w:rPr>
          <w:rFonts w:ascii="Arial" w:hAnsi="Arial" w:cs="Arial"/>
          <w:sz w:val="24"/>
          <w:szCs w:val="24"/>
        </w:rPr>
        <w:t xml:space="preserve"> </w:t>
      </w:r>
      <w:r w:rsidR="001D01A2" w:rsidRPr="00690531">
        <w:rPr>
          <w:rFonts w:ascii="Arial" w:hAnsi="Arial" w:cs="Arial"/>
          <w:sz w:val="24"/>
          <w:szCs w:val="24"/>
        </w:rPr>
        <w:t>In some state constitutions or legislative bills maintaining</w:t>
      </w:r>
      <w:r w:rsidR="00C20E8F" w:rsidRPr="00690531">
        <w:rPr>
          <w:rFonts w:ascii="Arial" w:hAnsi="Arial" w:cs="Arial"/>
          <w:sz w:val="24"/>
          <w:szCs w:val="24"/>
        </w:rPr>
        <w:t xml:space="preserve"> </w:t>
      </w:r>
      <w:r w:rsidR="001D01A2" w:rsidRPr="00690531">
        <w:rPr>
          <w:rFonts w:ascii="Arial" w:hAnsi="Arial" w:cs="Arial"/>
          <w:sz w:val="24"/>
          <w:szCs w:val="24"/>
        </w:rPr>
        <w:t>political subunits boundaries intact to the greatest extent feasible may be given a very high priority. (Wang et al. 2019, p. 242). But in any case, it is</w:t>
      </w:r>
      <w:r w:rsidR="00C20E8F" w:rsidRPr="00690531">
        <w:rPr>
          <w:rFonts w:ascii="Arial" w:hAnsi="Arial" w:cs="Arial"/>
          <w:sz w:val="24"/>
          <w:szCs w:val="24"/>
        </w:rPr>
        <w:t xml:space="preserve"> </w:t>
      </w:r>
      <w:r w:rsidR="001D01A2" w:rsidRPr="00690531">
        <w:rPr>
          <w:rFonts w:ascii="Arial" w:hAnsi="Arial" w:cs="Arial"/>
          <w:sz w:val="24"/>
          <w:szCs w:val="24"/>
        </w:rPr>
        <w:t>generally considered good redistricting practice to keep</w:t>
      </w:r>
      <w:r w:rsidR="00C20E8F" w:rsidRPr="00690531">
        <w:rPr>
          <w:rFonts w:ascii="Arial" w:hAnsi="Arial" w:cs="Arial"/>
          <w:sz w:val="24"/>
          <w:szCs w:val="24"/>
        </w:rPr>
        <w:t xml:space="preserve"> </w:t>
      </w:r>
      <w:r w:rsidR="001D01A2" w:rsidRPr="00690531">
        <w:rPr>
          <w:rFonts w:ascii="Arial" w:hAnsi="Arial" w:cs="Arial"/>
          <w:sz w:val="24"/>
          <w:szCs w:val="24"/>
        </w:rPr>
        <w:t>existing political subdivisions as wholly contained in individual districts as possible given the relative sizes of the district and the political subunit populations.</w:t>
      </w:r>
      <w:r w:rsidR="00C81623" w:rsidRPr="00690531">
        <w:rPr>
          <w:rFonts w:ascii="Arial" w:hAnsi="Arial" w:cs="Arial"/>
          <w:sz w:val="24"/>
          <w:szCs w:val="24"/>
        </w:rPr>
        <w:t xml:space="preserve"> </w:t>
      </w:r>
      <w:r w:rsidR="00755CB8" w:rsidRPr="00690531">
        <w:rPr>
          <w:rFonts w:ascii="Arial" w:hAnsi="Arial" w:cs="Arial"/>
          <w:sz w:val="24"/>
          <w:szCs w:val="24"/>
        </w:rPr>
        <w:t>In particular, non-fragmentation of existing political subunits is found in any list of traditional good government criteria</w:t>
      </w:r>
      <w:r w:rsidR="00C81623" w:rsidRPr="00690531">
        <w:rPr>
          <w:rFonts w:ascii="Arial" w:hAnsi="Arial" w:cs="Arial"/>
          <w:sz w:val="24"/>
          <w:szCs w:val="24"/>
        </w:rPr>
        <w:t xml:space="preserve"> </w:t>
      </w:r>
      <w:r w:rsidR="00755CB8" w:rsidRPr="00690531">
        <w:rPr>
          <w:rFonts w:ascii="Arial" w:hAnsi="Arial" w:cs="Arial"/>
          <w:sz w:val="24"/>
          <w:szCs w:val="24"/>
        </w:rPr>
        <w:t>along with constitutional standards such as population equality or equal protection under the 14</w:t>
      </w:r>
      <w:r w:rsidR="00755CB8" w:rsidRPr="00690531">
        <w:rPr>
          <w:rFonts w:ascii="Arial" w:hAnsi="Arial" w:cs="Arial"/>
          <w:sz w:val="24"/>
          <w:szCs w:val="24"/>
          <w:vertAlign w:val="superscript"/>
        </w:rPr>
        <w:t>th</w:t>
      </w:r>
      <w:r w:rsidR="00755CB8" w:rsidRPr="00690531">
        <w:rPr>
          <w:rFonts w:ascii="Arial" w:hAnsi="Arial" w:cs="Arial"/>
          <w:sz w:val="24"/>
          <w:szCs w:val="24"/>
        </w:rPr>
        <w:t xml:space="preserve"> Amendment</w:t>
      </w:r>
      <w:r w:rsidR="00C81623" w:rsidRPr="00690531">
        <w:rPr>
          <w:rFonts w:ascii="Arial" w:hAnsi="Arial" w:cs="Arial"/>
          <w:sz w:val="24"/>
          <w:szCs w:val="24"/>
        </w:rPr>
        <w:t xml:space="preserve"> </w:t>
      </w:r>
      <w:r w:rsidR="00755CB8" w:rsidRPr="00690531">
        <w:rPr>
          <w:rFonts w:ascii="Arial" w:hAnsi="Arial" w:cs="Arial"/>
          <w:sz w:val="24"/>
          <w:szCs w:val="24"/>
        </w:rPr>
        <w:t xml:space="preserve">and geographic features of plans such as </w:t>
      </w:r>
      <w:r w:rsidR="00755CB8" w:rsidRPr="00690531">
        <w:rPr>
          <w:rFonts w:ascii="Arial" w:hAnsi="Arial" w:cs="Arial"/>
          <w:i/>
          <w:iCs/>
          <w:sz w:val="24"/>
          <w:szCs w:val="24"/>
        </w:rPr>
        <w:t>contiguity</w:t>
      </w:r>
      <w:r w:rsidR="00755CB8" w:rsidRPr="00690531">
        <w:rPr>
          <w:rFonts w:ascii="Arial" w:hAnsi="Arial" w:cs="Arial"/>
          <w:sz w:val="24"/>
          <w:szCs w:val="24"/>
        </w:rPr>
        <w:t xml:space="preserve"> and </w:t>
      </w:r>
      <w:r w:rsidR="00755CB8" w:rsidRPr="00690531">
        <w:rPr>
          <w:rFonts w:ascii="Arial" w:hAnsi="Arial" w:cs="Arial"/>
          <w:i/>
          <w:iCs/>
          <w:sz w:val="24"/>
          <w:szCs w:val="24"/>
        </w:rPr>
        <w:t>compactness</w:t>
      </w:r>
      <w:r w:rsidR="00C81623" w:rsidRPr="00690531">
        <w:rPr>
          <w:rFonts w:ascii="Arial" w:hAnsi="Arial" w:cs="Arial"/>
          <w:sz w:val="24"/>
          <w:szCs w:val="24"/>
        </w:rPr>
        <w:t xml:space="preserve"> </w:t>
      </w:r>
      <w:r w:rsidR="00755CB8" w:rsidRPr="00690531">
        <w:rPr>
          <w:rFonts w:ascii="Arial" w:hAnsi="Arial" w:cs="Arial"/>
          <w:sz w:val="24"/>
          <w:szCs w:val="24"/>
        </w:rPr>
        <w:t>(Grofman, 1985; NCSL 2020).</w:t>
      </w:r>
      <w:r w:rsidR="00C56C6E" w:rsidRPr="00690531">
        <w:rPr>
          <w:rStyle w:val="EndnoteReference"/>
          <w:rFonts w:ascii="Arial" w:hAnsi="Arial" w:cs="Arial"/>
          <w:sz w:val="24"/>
          <w:szCs w:val="24"/>
        </w:rPr>
        <w:endnoteReference w:id="7"/>
      </w:r>
      <w:r w:rsidR="00C56C6E" w:rsidRPr="00690531">
        <w:rPr>
          <w:rFonts w:ascii="Arial" w:hAnsi="Arial" w:cs="Arial"/>
          <w:sz w:val="24"/>
          <w:szCs w:val="24"/>
        </w:rPr>
        <w:t xml:space="preserve"> </w:t>
      </w:r>
    </w:p>
    <w:p w14:paraId="02FA275A" w14:textId="0C85178D" w:rsidR="00C56C6E" w:rsidRPr="00690531" w:rsidRDefault="006D7057" w:rsidP="00FA6CE0">
      <w:pPr>
        <w:autoSpaceDE w:val="0"/>
        <w:autoSpaceDN w:val="0"/>
        <w:adjustRightInd w:val="0"/>
        <w:spacing w:after="0" w:line="240" w:lineRule="auto"/>
        <w:rPr>
          <w:rFonts w:ascii="Arial" w:hAnsi="Arial" w:cs="Arial"/>
          <w:sz w:val="24"/>
          <w:szCs w:val="24"/>
        </w:rPr>
      </w:pPr>
      <w:r w:rsidRPr="00690531">
        <w:rPr>
          <w:rFonts w:ascii="Arial" w:hAnsi="Arial" w:cs="Arial"/>
          <w:sz w:val="24"/>
          <w:szCs w:val="24"/>
        </w:rPr>
        <w:t>One common way to measure compliance with the criterion of non-</w:t>
      </w:r>
      <w:r w:rsidR="006314BC" w:rsidRPr="00690531">
        <w:rPr>
          <w:rFonts w:ascii="Arial" w:hAnsi="Arial" w:cs="Arial"/>
          <w:sz w:val="24"/>
          <w:szCs w:val="24"/>
        </w:rPr>
        <w:t>fragmentation</w:t>
      </w:r>
      <w:r w:rsidR="00C81623" w:rsidRPr="00690531">
        <w:rPr>
          <w:rFonts w:ascii="Arial" w:hAnsi="Arial" w:cs="Arial"/>
          <w:sz w:val="24"/>
          <w:szCs w:val="24"/>
        </w:rPr>
        <w:t xml:space="preserve"> </w:t>
      </w:r>
      <w:r w:rsidR="005571E8" w:rsidRPr="00690531">
        <w:rPr>
          <w:rFonts w:ascii="Arial" w:hAnsi="Arial" w:cs="Arial"/>
          <w:sz w:val="24"/>
          <w:szCs w:val="24"/>
        </w:rPr>
        <w:t>of political subunits, say counties,</w:t>
      </w:r>
      <w:r w:rsidR="00C81623" w:rsidRPr="00690531">
        <w:rPr>
          <w:rFonts w:ascii="Arial" w:hAnsi="Arial" w:cs="Arial"/>
          <w:sz w:val="24"/>
          <w:szCs w:val="24"/>
        </w:rPr>
        <w:t xml:space="preserve"> </w:t>
      </w:r>
      <w:r w:rsidR="005571E8" w:rsidRPr="00690531">
        <w:rPr>
          <w:rFonts w:ascii="Arial" w:hAnsi="Arial" w:cs="Arial"/>
          <w:sz w:val="24"/>
          <w:szCs w:val="24"/>
        </w:rPr>
        <w:t>is</w:t>
      </w:r>
      <w:r w:rsidR="00C81623" w:rsidRPr="00690531">
        <w:rPr>
          <w:rFonts w:ascii="Arial" w:hAnsi="Arial" w:cs="Arial"/>
          <w:sz w:val="24"/>
          <w:szCs w:val="24"/>
        </w:rPr>
        <w:t xml:space="preserve"> </w:t>
      </w:r>
      <w:r w:rsidRPr="00690531">
        <w:rPr>
          <w:rFonts w:ascii="Arial" w:hAnsi="Arial" w:cs="Arial"/>
          <w:sz w:val="24"/>
          <w:szCs w:val="24"/>
        </w:rPr>
        <w:t xml:space="preserve">to </w:t>
      </w:r>
      <w:r w:rsidR="005571E8" w:rsidRPr="00690531">
        <w:rPr>
          <w:rFonts w:ascii="Arial" w:hAnsi="Arial" w:cs="Arial"/>
          <w:sz w:val="24"/>
          <w:szCs w:val="24"/>
        </w:rPr>
        <w:t>coun</w:t>
      </w:r>
      <w:r w:rsidRPr="00690531">
        <w:rPr>
          <w:rFonts w:ascii="Arial" w:hAnsi="Arial" w:cs="Arial"/>
          <w:sz w:val="24"/>
          <w:szCs w:val="24"/>
        </w:rPr>
        <w:t>t</w:t>
      </w:r>
      <w:r w:rsidR="005571E8" w:rsidRPr="00690531">
        <w:rPr>
          <w:rFonts w:ascii="Arial" w:hAnsi="Arial" w:cs="Arial"/>
          <w:sz w:val="24"/>
          <w:szCs w:val="24"/>
        </w:rPr>
        <w:t xml:space="preserve"> the number of counties that </w:t>
      </w:r>
      <w:r w:rsidRPr="00690531">
        <w:rPr>
          <w:rFonts w:ascii="Arial" w:hAnsi="Arial" w:cs="Arial"/>
          <w:sz w:val="24"/>
          <w:szCs w:val="24"/>
        </w:rPr>
        <w:t>have population found in more than one district.</w:t>
      </w:r>
      <w:r w:rsidR="00C81623" w:rsidRPr="00690531">
        <w:rPr>
          <w:rFonts w:ascii="Arial" w:hAnsi="Arial" w:cs="Arial"/>
          <w:sz w:val="24"/>
          <w:szCs w:val="24"/>
        </w:rPr>
        <w:t xml:space="preserve"> </w:t>
      </w:r>
      <w:r w:rsidRPr="00690531">
        <w:rPr>
          <w:rFonts w:ascii="Arial" w:hAnsi="Arial" w:cs="Arial"/>
          <w:color w:val="000000"/>
          <w:sz w:val="24"/>
          <w:szCs w:val="24"/>
        </w:rPr>
        <w:t xml:space="preserve">The other way is to count the number of times each jurisdiction is split, i.e., the number of separate pieces into which the jurisdiction is divided. In the first counting method, a county can have portions of itself found in a </w:t>
      </w:r>
      <w:r w:rsidRPr="00690531">
        <w:rPr>
          <w:rFonts w:ascii="Arial" w:hAnsi="Arial" w:cs="Arial"/>
          <w:color w:val="000000"/>
          <w:sz w:val="24"/>
          <w:szCs w:val="24"/>
        </w:rPr>
        <w:lastRenderedPageBreak/>
        <w:t>dozen different districts but have this counted as only one county split. Under the second method, this wholesale splitting of the county would be counted as twelve splits. We regard</w:t>
      </w:r>
      <w:r w:rsidR="00755CB8" w:rsidRPr="00690531">
        <w:rPr>
          <w:rFonts w:ascii="Arial" w:hAnsi="Arial" w:cs="Arial"/>
          <w:color w:val="000000"/>
          <w:sz w:val="24"/>
          <w:szCs w:val="24"/>
        </w:rPr>
        <w:t xml:space="preserve"> </w:t>
      </w:r>
      <w:r w:rsidRPr="00690531">
        <w:rPr>
          <w:rFonts w:ascii="Arial" w:hAnsi="Arial" w:cs="Arial"/>
          <w:color w:val="000000"/>
          <w:sz w:val="24"/>
          <w:szCs w:val="24"/>
        </w:rPr>
        <w:t xml:space="preserve">both methods as informative, but we regard the second method as providing </w:t>
      </w:r>
      <w:r w:rsidR="00755CB8" w:rsidRPr="00690531">
        <w:rPr>
          <w:rFonts w:ascii="Arial" w:hAnsi="Arial" w:cs="Arial"/>
          <w:color w:val="000000"/>
          <w:sz w:val="24"/>
          <w:szCs w:val="24"/>
        </w:rPr>
        <w:t>far</w:t>
      </w:r>
      <w:r w:rsidRPr="00690531">
        <w:rPr>
          <w:rFonts w:ascii="Arial" w:hAnsi="Arial" w:cs="Arial"/>
          <w:color w:val="000000"/>
          <w:sz w:val="24"/>
          <w:szCs w:val="24"/>
        </w:rPr>
        <w:t xml:space="preserve"> more</w:t>
      </w:r>
      <w:r w:rsidR="00755CB8" w:rsidRPr="00690531">
        <w:rPr>
          <w:rFonts w:ascii="Arial" w:hAnsi="Arial" w:cs="Arial"/>
          <w:color w:val="000000"/>
          <w:sz w:val="24"/>
          <w:szCs w:val="24"/>
        </w:rPr>
        <w:t xml:space="preserve"> </w:t>
      </w:r>
      <w:r w:rsidRPr="00690531">
        <w:rPr>
          <w:rFonts w:ascii="Arial" w:hAnsi="Arial" w:cs="Arial"/>
          <w:color w:val="000000"/>
          <w:sz w:val="24"/>
          <w:szCs w:val="24"/>
        </w:rPr>
        <w:t>complete information.</w:t>
      </w:r>
      <w:r w:rsidR="00C56C6E" w:rsidRPr="00690531">
        <w:rPr>
          <w:rStyle w:val="EndnoteReference"/>
          <w:rFonts w:ascii="Arial" w:hAnsi="Arial" w:cs="Arial"/>
          <w:color w:val="000000"/>
          <w:sz w:val="24"/>
          <w:szCs w:val="24"/>
        </w:rPr>
        <w:endnoteReference w:id="8"/>
      </w:r>
      <w:r w:rsidR="00C56C6E" w:rsidRPr="00690531">
        <w:rPr>
          <w:rFonts w:ascii="Arial" w:hAnsi="Arial" w:cs="Arial"/>
          <w:color w:val="000000"/>
          <w:sz w:val="24"/>
          <w:szCs w:val="24"/>
        </w:rPr>
        <w:t xml:space="preserve"> </w:t>
      </w:r>
      <w:r w:rsidR="00755CB8" w:rsidRPr="00690531">
        <w:rPr>
          <w:rFonts w:ascii="Arial" w:hAnsi="Arial" w:cs="Arial"/>
          <w:i/>
          <w:iCs/>
          <w:sz w:val="24"/>
          <w:szCs w:val="24"/>
        </w:rPr>
        <w:t>Fracking</w:t>
      </w:r>
      <w:r w:rsidR="00755CB8" w:rsidRPr="00690531">
        <w:rPr>
          <w:rFonts w:ascii="Arial" w:hAnsi="Arial" w:cs="Arial"/>
          <w:sz w:val="24"/>
          <w:szCs w:val="24"/>
        </w:rPr>
        <w:t xml:space="preserve"> can be viewed as a special case of fragmentation of political subunit boundaries,</w:t>
      </w:r>
      <w:r w:rsidR="00C81623" w:rsidRPr="00690531">
        <w:rPr>
          <w:rFonts w:ascii="Arial" w:hAnsi="Arial" w:cs="Arial"/>
          <w:sz w:val="24"/>
          <w:szCs w:val="24"/>
        </w:rPr>
        <w:t xml:space="preserve"> </w:t>
      </w:r>
      <w:r w:rsidR="00755CB8" w:rsidRPr="00690531">
        <w:rPr>
          <w:rFonts w:ascii="Arial" w:hAnsi="Arial" w:cs="Arial"/>
          <w:sz w:val="24"/>
          <w:szCs w:val="24"/>
        </w:rPr>
        <w:t xml:space="preserve">one that </w:t>
      </w:r>
      <w:r w:rsidR="00CE60F6" w:rsidRPr="00690531">
        <w:rPr>
          <w:rFonts w:ascii="Arial" w:hAnsi="Arial" w:cs="Arial"/>
          <w:sz w:val="24"/>
          <w:szCs w:val="24"/>
        </w:rPr>
        <w:t xml:space="preserve">also </w:t>
      </w:r>
      <w:r w:rsidR="00755CB8" w:rsidRPr="00690531">
        <w:rPr>
          <w:rFonts w:ascii="Arial" w:hAnsi="Arial" w:cs="Arial"/>
          <w:sz w:val="24"/>
          <w:szCs w:val="24"/>
        </w:rPr>
        <w:t>involves the violation of contiguity of district populations. In other words</w:t>
      </w:r>
      <w:r w:rsidR="00CE60F6" w:rsidRPr="00690531">
        <w:rPr>
          <w:rFonts w:ascii="Arial" w:hAnsi="Arial" w:cs="Arial"/>
          <w:sz w:val="24"/>
          <w:szCs w:val="24"/>
        </w:rPr>
        <w:t>,</w:t>
      </w:r>
      <w:r w:rsidR="00FA6CE0" w:rsidRPr="00690531">
        <w:rPr>
          <w:rFonts w:ascii="Arial" w:hAnsi="Arial" w:cs="Arial"/>
          <w:sz w:val="24"/>
          <w:szCs w:val="24"/>
        </w:rPr>
        <w:t xml:space="preserve"> </w:t>
      </w:r>
      <w:r w:rsidR="00755CB8" w:rsidRPr="00690531">
        <w:rPr>
          <w:rFonts w:ascii="Arial" w:hAnsi="Arial" w:cs="Arial"/>
          <w:sz w:val="24"/>
          <w:szCs w:val="24"/>
        </w:rPr>
        <w:t xml:space="preserve">when we have </w:t>
      </w:r>
      <w:r w:rsidR="00755CB8" w:rsidRPr="00690531">
        <w:rPr>
          <w:rFonts w:ascii="Arial" w:hAnsi="Arial" w:cs="Arial"/>
          <w:i/>
          <w:iCs/>
          <w:sz w:val="24"/>
          <w:szCs w:val="24"/>
        </w:rPr>
        <w:t>frackin</w:t>
      </w:r>
      <w:r w:rsidR="00CA05B6" w:rsidRPr="00690531">
        <w:rPr>
          <w:rFonts w:ascii="Arial" w:hAnsi="Arial" w:cs="Arial"/>
          <w:sz w:val="24"/>
          <w:szCs w:val="24"/>
        </w:rPr>
        <w:t>g</w:t>
      </w:r>
      <w:r w:rsidR="00CE60F6" w:rsidRPr="00690531">
        <w:rPr>
          <w:rFonts w:ascii="Arial" w:hAnsi="Arial" w:cs="Arial"/>
          <w:sz w:val="24"/>
          <w:szCs w:val="24"/>
        </w:rPr>
        <w:t xml:space="preserve">, </w:t>
      </w:r>
      <w:r w:rsidR="00755CB8" w:rsidRPr="00690531">
        <w:rPr>
          <w:rFonts w:ascii="Arial" w:hAnsi="Arial" w:cs="Arial"/>
          <w:sz w:val="24"/>
          <w:szCs w:val="24"/>
        </w:rPr>
        <w:t>then there will be two or more pieces of a given</w:t>
      </w:r>
      <w:r w:rsidR="00C81623" w:rsidRPr="00690531">
        <w:rPr>
          <w:rFonts w:ascii="Arial" w:hAnsi="Arial" w:cs="Arial"/>
          <w:sz w:val="24"/>
          <w:szCs w:val="24"/>
        </w:rPr>
        <w:t xml:space="preserve"> </w:t>
      </w:r>
      <w:r w:rsidR="00755CB8" w:rsidRPr="00690531">
        <w:rPr>
          <w:rFonts w:ascii="Arial" w:hAnsi="Arial" w:cs="Arial"/>
          <w:sz w:val="24"/>
          <w:szCs w:val="24"/>
        </w:rPr>
        <w:t>county in</w:t>
      </w:r>
      <w:r w:rsidR="00C81623" w:rsidRPr="00690531">
        <w:rPr>
          <w:rFonts w:ascii="Arial" w:hAnsi="Arial" w:cs="Arial"/>
          <w:sz w:val="24"/>
          <w:szCs w:val="24"/>
        </w:rPr>
        <w:t xml:space="preserve"> </w:t>
      </w:r>
      <w:r w:rsidR="00755CB8" w:rsidRPr="00690531">
        <w:rPr>
          <w:rFonts w:ascii="Arial" w:hAnsi="Arial" w:cs="Arial"/>
          <w:sz w:val="24"/>
          <w:szCs w:val="24"/>
        </w:rPr>
        <w:t>the district, and thus those pieces will be discontiguous with each other.</w:t>
      </w:r>
      <w:r w:rsidR="00252435" w:rsidRPr="00690531">
        <w:rPr>
          <w:rFonts w:ascii="Arial" w:hAnsi="Arial" w:cs="Arial"/>
          <w:sz w:val="24"/>
          <w:szCs w:val="24"/>
        </w:rPr>
        <w:t xml:space="preserve"> </w:t>
      </w:r>
      <w:r w:rsidR="00C56C6E" w:rsidRPr="00690531">
        <w:rPr>
          <w:rStyle w:val="EndnoteReference"/>
          <w:rFonts w:ascii="Arial" w:hAnsi="Arial" w:cs="Arial"/>
          <w:sz w:val="24"/>
          <w:szCs w:val="24"/>
        </w:rPr>
        <w:endnoteReference w:id="9"/>
      </w:r>
    </w:p>
    <w:p w14:paraId="51927868" w14:textId="77777777" w:rsidR="006314BC" w:rsidRPr="00690531" w:rsidRDefault="006314BC" w:rsidP="003760A1">
      <w:pPr>
        <w:rPr>
          <w:rStyle w:val="Heading2Char"/>
          <w:rFonts w:ascii="Arial" w:eastAsiaTheme="minorHAnsi" w:hAnsi="Arial" w:cs="Arial"/>
          <w:b w:val="0"/>
          <w:bCs w:val="0"/>
          <w:szCs w:val="24"/>
        </w:rPr>
      </w:pPr>
    </w:p>
    <w:p w14:paraId="201EB359" w14:textId="1738451E" w:rsidR="00051A0C" w:rsidRPr="00690531" w:rsidRDefault="008D0FDB" w:rsidP="00690531">
      <w:pPr>
        <w:pStyle w:val="Heading2"/>
        <w:spacing w:line="240" w:lineRule="auto"/>
        <w:rPr>
          <w:rFonts w:ascii="Arial" w:hAnsi="Arial" w:cs="Arial"/>
          <w:b w:val="0"/>
          <w:bCs w:val="0"/>
          <w:szCs w:val="24"/>
        </w:rPr>
      </w:pPr>
      <w:r w:rsidRPr="00690531">
        <w:rPr>
          <w:rFonts w:ascii="Arial" w:hAnsi="Arial" w:cs="Arial"/>
          <w:szCs w:val="24"/>
        </w:rPr>
        <w:t>Example</w:t>
      </w:r>
      <w:r w:rsidR="006811F1" w:rsidRPr="00690531">
        <w:rPr>
          <w:rFonts w:ascii="Arial" w:hAnsi="Arial" w:cs="Arial"/>
          <w:szCs w:val="24"/>
        </w:rPr>
        <w:t xml:space="preserve"> </w:t>
      </w:r>
      <w:r w:rsidR="00353A64" w:rsidRPr="00690531">
        <w:rPr>
          <w:rFonts w:ascii="Arial" w:hAnsi="Arial" w:cs="Arial"/>
          <w:szCs w:val="24"/>
        </w:rPr>
        <w:t>of fracking</w:t>
      </w:r>
      <w:r w:rsidR="00FA6CE0" w:rsidRPr="00690531">
        <w:rPr>
          <w:rFonts w:ascii="Arial" w:hAnsi="Arial" w:cs="Arial"/>
          <w:szCs w:val="24"/>
        </w:rPr>
        <w:t xml:space="preserve">. </w:t>
      </w:r>
      <w:r w:rsidR="00360033" w:rsidRPr="00690531">
        <w:rPr>
          <w:rFonts w:ascii="Arial" w:hAnsi="Arial" w:cs="Arial"/>
          <w:b w:val="0"/>
          <w:bCs w:val="0"/>
          <w:szCs w:val="24"/>
        </w:rPr>
        <w:t xml:space="preserve">In </w:t>
      </w:r>
      <w:r w:rsidR="00360033" w:rsidRPr="00690531">
        <w:rPr>
          <w:rFonts w:ascii="Arial" w:hAnsi="Arial" w:cs="Arial"/>
          <w:b w:val="0"/>
          <w:bCs w:val="0"/>
          <w:i/>
          <w:iCs/>
          <w:szCs w:val="24"/>
        </w:rPr>
        <w:t>Golden Bethune-Hill v. Virginia State Board of Elections (Civil Action No. 3:14-cv-852, 2015)</w:t>
      </w:r>
      <w:r w:rsidR="00360033" w:rsidRPr="00690531">
        <w:rPr>
          <w:rFonts w:ascii="Arial" w:hAnsi="Arial" w:cs="Arial"/>
          <w:b w:val="0"/>
          <w:bCs w:val="0"/>
          <w:szCs w:val="24"/>
        </w:rPr>
        <w:t xml:space="preserve">, a three-judge district court found eleven districts </w:t>
      </w:r>
      <w:r w:rsidR="008D017B" w:rsidRPr="00690531">
        <w:rPr>
          <w:rFonts w:ascii="Arial" w:hAnsi="Arial" w:cs="Arial"/>
          <w:b w:val="0"/>
          <w:bCs w:val="0"/>
          <w:szCs w:val="24"/>
        </w:rPr>
        <w:t xml:space="preserve">of the state’s lower legislative chamber </w:t>
      </w:r>
      <w:r w:rsidR="00360033" w:rsidRPr="00690531">
        <w:rPr>
          <w:rFonts w:ascii="Arial" w:hAnsi="Arial" w:cs="Arial"/>
          <w:b w:val="0"/>
          <w:bCs w:val="0"/>
          <w:szCs w:val="24"/>
        </w:rPr>
        <w:t xml:space="preserve">to be unconstitutional under the Supreme Court guidelines laid down in </w:t>
      </w:r>
      <w:r w:rsidR="00360033" w:rsidRPr="00690531">
        <w:rPr>
          <w:rFonts w:ascii="Arial" w:hAnsi="Arial" w:cs="Arial"/>
          <w:b w:val="0"/>
          <w:bCs w:val="0"/>
          <w:i/>
          <w:iCs/>
          <w:szCs w:val="24"/>
        </w:rPr>
        <w:t>Shaw v. Reno</w:t>
      </w:r>
      <w:r w:rsidR="00360033" w:rsidRPr="00690531">
        <w:rPr>
          <w:rFonts w:ascii="Arial" w:hAnsi="Arial" w:cs="Arial"/>
          <w:b w:val="0"/>
          <w:bCs w:val="0"/>
          <w:szCs w:val="24"/>
        </w:rPr>
        <w:t xml:space="preserve"> 509 U.S. 630 (1993)</w:t>
      </w:r>
      <w:r w:rsidR="008D017B" w:rsidRPr="00690531">
        <w:rPr>
          <w:rFonts w:ascii="Arial" w:hAnsi="Arial" w:cs="Arial"/>
          <w:b w:val="0"/>
          <w:bCs w:val="0"/>
          <w:szCs w:val="24"/>
        </w:rPr>
        <w:t>.</w:t>
      </w:r>
      <w:r w:rsidR="00C56C6E" w:rsidRPr="00690531">
        <w:rPr>
          <w:rStyle w:val="EndnoteReference"/>
          <w:rFonts w:ascii="Arial" w:hAnsi="Arial" w:cs="Arial"/>
          <w:b w:val="0"/>
          <w:bCs w:val="0"/>
          <w:i/>
          <w:iCs/>
          <w:szCs w:val="24"/>
        </w:rPr>
        <w:endnoteReference w:id="10"/>
      </w:r>
      <w:r w:rsidR="00C56C6E" w:rsidRPr="00690531">
        <w:rPr>
          <w:rFonts w:ascii="Arial" w:hAnsi="Arial" w:cs="Arial"/>
          <w:b w:val="0"/>
          <w:bCs w:val="0"/>
          <w:szCs w:val="24"/>
        </w:rPr>
        <w:t xml:space="preserve"> </w:t>
      </w:r>
      <w:r w:rsidR="008D017B" w:rsidRPr="00690531">
        <w:rPr>
          <w:rFonts w:ascii="Arial" w:hAnsi="Arial" w:cs="Arial"/>
          <w:b w:val="0"/>
          <w:bCs w:val="0"/>
          <w:szCs w:val="24"/>
        </w:rPr>
        <w:t>Th</w:t>
      </w:r>
      <w:r w:rsidR="005837C0" w:rsidRPr="00690531">
        <w:rPr>
          <w:rFonts w:ascii="Arial" w:hAnsi="Arial" w:cs="Arial"/>
          <w:b w:val="0"/>
          <w:bCs w:val="0"/>
          <w:szCs w:val="24"/>
        </w:rPr>
        <w:t>e latter</w:t>
      </w:r>
      <w:r w:rsidR="008D017B" w:rsidRPr="00690531">
        <w:rPr>
          <w:rFonts w:ascii="Arial" w:hAnsi="Arial" w:cs="Arial"/>
          <w:b w:val="0"/>
          <w:bCs w:val="0"/>
          <w:szCs w:val="24"/>
        </w:rPr>
        <w:t xml:space="preserve"> decision </w:t>
      </w:r>
      <w:r w:rsidR="00360033" w:rsidRPr="00690531">
        <w:rPr>
          <w:rFonts w:ascii="Arial" w:hAnsi="Arial" w:cs="Arial"/>
          <w:b w:val="0"/>
          <w:bCs w:val="0"/>
          <w:szCs w:val="24"/>
        </w:rPr>
        <w:t>prohibited the use of race as a preponderant motive in redistricting.</w:t>
      </w:r>
      <w:r w:rsidR="00C56C6E" w:rsidRPr="00690531">
        <w:rPr>
          <w:rStyle w:val="EndnoteReference"/>
          <w:rFonts w:ascii="Arial" w:hAnsi="Arial" w:cs="Arial"/>
          <w:b w:val="0"/>
          <w:bCs w:val="0"/>
          <w:szCs w:val="24"/>
        </w:rPr>
        <w:endnoteReference w:id="11"/>
      </w:r>
      <w:r w:rsidR="00C56C6E" w:rsidRPr="00690531">
        <w:rPr>
          <w:rFonts w:ascii="Arial" w:hAnsi="Arial" w:cs="Arial"/>
          <w:b w:val="0"/>
          <w:bCs w:val="0"/>
          <w:szCs w:val="24"/>
        </w:rPr>
        <w:t xml:space="preserve"> </w:t>
      </w:r>
      <w:r w:rsidR="00420807" w:rsidRPr="00690531">
        <w:rPr>
          <w:rFonts w:ascii="Arial" w:hAnsi="Arial" w:cs="Arial"/>
          <w:b w:val="0"/>
          <w:bCs w:val="0"/>
          <w:szCs w:val="24"/>
        </w:rPr>
        <w:t xml:space="preserve">Four of the eleven districts </w:t>
      </w:r>
      <w:r w:rsidR="001E3533" w:rsidRPr="00690531">
        <w:rPr>
          <w:rFonts w:ascii="Arial" w:hAnsi="Arial" w:cs="Arial"/>
          <w:b w:val="0"/>
          <w:bCs w:val="0"/>
          <w:szCs w:val="24"/>
        </w:rPr>
        <w:t xml:space="preserve">found to be unconstitutional </w:t>
      </w:r>
      <w:r w:rsidR="00420807" w:rsidRPr="00690531">
        <w:rPr>
          <w:rFonts w:ascii="Arial" w:hAnsi="Arial" w:cs="Arial"/>
          <w:b w:val="0"/>
          <w:bCs w:val="0"/>
          <w:szCs w:val="24"/>
        </w:rPr>
        <w:t xml:space="preserve">in the Virginia House of Delegates 2011 Enacted </w:t>
      </w:r>
      <w:r w:rsidR="00E745E8" w:rsidRPr="00690531">
        <w:rPr>
          <w:rFonts w:ascii="Arial" w:hAnsi="Arial" w:cs="Arial"/>
          <w:b w:val="0"/>
          <w:bCs w:val="0"/>
          <w:szCs w:val="24"/>
        </w:rPr>
        <w:t>M</w:t>
      </w:r>
      <w:r w:rsidR="00420807" w:rsidRPr="00690531">
        <w:rPr>
          <w:rFonts w:ascii="Arial" w:hAnsi="Arial" w:cs="Arial"/>
          <w:b w:val="0"/>
          <w:bCs w:val="0"/>
          <w:szCs w:val="24"/>
        </w:rPr>
        <w:t xml:space="preserve">ap contained instances of </w:t>
      </w:r>
      <w:r w:rsidR="00420807" w:rsidRPr="00690531">
        <w:rPr>
          <w:rFonts w:ascii="Arial" w:hAnsi="Arial" w:cs="Arial"/>
          <w:b w:val="0"/>
          <w:bCs w:val="0"/>
          <w:i/>
          <w:iCs/>
          <w:szCs w:val="24"/>
        </w:rPr>
        <w:t>fracking</w:t>
      </w:r>
      <w:r w:rsidR="00420807" w:rsidRPr="00690531">
        <w:rPr>
          <w:rFonts w:ascii="Arial" w:hAnsi="Arial" w:cs="Arial"/>
          <w:b w:val="0"/>
          <w:bCs w:val="0"/>
          <w:szCs w:val="24"/>
        </w:rPr>
        <w:t xml:space="preserve"> (districts 63, 70, 90, and 95).</w:t>
      </w:r>
      <w:r w:rsidR="00B71A5C" w:rsidRPr="00690531">
        <w:rPr>
          <w:rFonts w:ascii="Arial" w:hAnsi="Arial" w:cs="Arial"/>
          <w:b w:val="0"/>
          <w:bCs w:val="0"/>
          <w:szCs w:val="24"/>
        </w:rPr>
        <w:t xml:space="preserve"> </w:t>
      </w:r>
      <w:r w:rsidR="00420807" w:rsidRPr="00690531">
        <w:rPr>
          <w:rFonts w:ascii="Arial" w:hAnsi="Arial" w:cs="Arial"/>
          <w:b w:val="0"/>
          <w:bCs w:val="0"/>
          <w:szCs w:val="24"/>
        </w:rPr>
        <w:t xml:space="preserve">Below we show the </w:t>
      </w:r>
      <w:r w:rsidR="00420807" w:rsidRPr="00690531">
        <w:rPr>
          <w:rFonts w:ascii="Arial" w:hAnsi="Arial" w:cs="Arial"/>
          <w:b w:val="0"/>
          <w:bCs w:val="0"/>
          <w:i/>
          <w:iCs/>
          <w:szCs w:val="24"/>
        </w:rPr>
        <w:t xml:space="preserve">fracking </w:t>
      </w:r>
      <w:r w:rsidR="00420807" w:rsidRPr="00690531">
        <w:rPr>
          <w:rFonts w:ascii="Arial" w:hAnsi="Arial" w:cs="Arial"/>
          <w:b w:val="0"/>
          <w:bCs w:val="0"/>
          <w:szCs w:val="24"/>
        </w:rPr>
        <w:t>in District</w:t>
      </w:r>
      <w:r w:rsidR="00B71A5C" w:rsidRPr="00690531">
        <w:rPr>
          <w:rFonts w:ascii="Arial" w:hAnsi="Arial" w:cs="Arial"/>
          <w:b w:val="0"/>
          <w:bCs w:val="0"/>
          <w:szCs w:val="24"/>
        </w:rPr>
        <w:t xml:space="preserve"> </w:t>
      </w:r>
      <w:r w:rsidR="00420807" w:rsidRPr="00690531">
        <w:rPr>
          <w:rFonts w:ascii="Arial" w:hAnsi="Arial" w:cs="Arial"/>
          <w:b w:val="0"/>
          <w:bCs w:val="0"/>
          <w:szCs w:val="24"/>
        </w:rPr>
        <w:t>63</w:t>
      </w:r>
      <w:r w:rsidR="00B71A5C" w:rsidRPr="00690531">
        <w:rPr>
          <w:rFonts w:ascii="Arial" w:hAnsi="Arial" w:cs="Arial"/>
          <w:b w:val="0"/>
          <w:bCs w:val="0"/>
          <w:szCs w:val="24"/>
        </w:rPr>
        <w:t xml:space="preserve"> </w:t>
      </w:r>
      <w:r w:rsidR="004077DD" w:rsidRPr="00690531">
        <w:rPr>
          <w:rFonts w:ascii="Arial" w:hAnsi="Arial" w:cs="Arial"/>
          <w:b w:val="0"/>
          <w:bCs w:val="0"/>
          <w:szCs w:val="24"/>
        </w:rPr>
        <w:t xml:space="preserve">(Figure </w:t>
      </w:r>
      <w:r w:rsidR="00051A0C" w:rsidRPr="00690531">
        <w:rPr>
          <w:rFonts w:ascii="Arial" w:hAnsi="Arial" w:cs="Arial"/>
          <w:b w:val="0"/>
          <w:bCs w:val="0"/>
          <w:szCs w:val="24"/>
        </w:rPr>
        <w:t>1</w:t>
      </w:r>
      <w:r w:rsidR="004077DD" w:rsidRPr="00690531">
        <w:rPr>
          <w:rFonts w:ascii="Arial" w:hAnsi="Arial" w:cs="Arial"/>
          <w:b w:val="0"/>
          <w:bCs w:val="0"/>
          <w:szCs w:val="24"/>
        </w:rPr>
        <w:t xml:space="preserve">) </w:t>
      </w:r>
    </w:p>
    <w:p w14:paraId="027E2503" w14:textId="3C5E9505" w:rsidR="00353A64" w:rsidRPr="00690531" w:rsidRDefault="00353A64" w:rsidP="00B71A5C">
      <w:pPr>
        <w:rPr>
          <w:rFonts w:ascii="Arial" w:hAnsi="Arial" w:cs="Arial"/>
          <w:sz w:val="24"/>
          <w:szCs w:val="24"/>
        </w:rPr>
      </w:pPr>
    </w:p>
    <w:p w14:paraId="6C09FCE8" w14:textId="7CBA10C2" w:rsidR="00353A64" w:rsidRPr="00690531" w:rsidRDefault="00E745E8" w:rsidP="00214B9F">
      <w:pPr>
        <w:jc w:val="center"/>
        <w:rPr>
          <w:rFonts w:ascii="Arial" w:hAnsi="Arial" w:cs="Arial"/>
          <w:sz w:val="24"/>
          <w:szCs w:val="24"/>
        </w:rPr>
      </w:pPr>
      <w:r w:rsidRPr="00690531">
        <w:rPr>
          <w:rFonts w:ascii="Arial" w:hAnsi="Arial" w:cs="Arial"/>
          <w:sz w:val="24"/>
          <w:szCs w:val="24"/>
        </w:rPr>
        <w:t>&lt;&lt;</w:t>
      </w:r>
      <w:r w:rsidR="00A3069B" w:rsidRPr="00690531">
        <w:rPr>
          <w:rFonts w:ascii="Arial" w:hAnsi="Arial" w:cs="Arial"/>
          <w:sz w:val="24"/>
          <w:szCs w:val="24"/>
        </w:rPr>
        <w:t xml:space="preserve"> </w:t>
      </w:r>
      <w:r w:rsidRPr="00690531">
        <w:rPr>
          <w:rFonts w:ascii="Arial" w:hAnsi="Arial" w:cs="Arial"/>
          <w:b/>
          <w:bCs/>
          <w:sz w:val="24"/>
          <w:szCs w:val="24"/>
        </w:rPr>
        <w:t xml:space="preserve">Figure </w:t>
      </w:r>
      <w:r w:rsidR="00690531" w:rsidRPr="00690531">
        <w:rPr>
          <w:rFonts w:ascii="Arial" w:hAnsi="Arial" w:cs="Arial"/>
          <w:b/>
          <w:bCs/>
          <w:sz w:val="24"/>
          <w:szCs w:val="24"/>
        </w:rPr>
        <w:t>1</w:t>
      </w:r>
      <w:r w:rsidRPr="00690531">
        <w:rPr>
          <w:rFonts w:ascii="Arial" w:hAnsi="Arial" w:cs="Arial"/>
          <w:b/>
          <w:bCs/>
          <w:sz w:val="24"/>
          <w:szCs w:val="24"/>
        </w:rPr>
        <w:t xml:space="preserve"> about here</w:t>
      </w:r>
      <w:r w:rsidR="00A3069B" w:rsidRPr="00690531">
        <w:rPr>
          <w:rFonts w:ascii="Arial" w:hAnsi="Arial" w:cs="Arial"/>
          <w:sz w:val="24"/>
          <w:szCs w:val="24"/>
        </w:rPr>
        <w:t xml:space="preserve"> </w:t>
      </w:r>
      <w:r w:rsidRPr="00690531">
        <w:rPr>
          <w:rFonts w:ascii="Arial" w:hAnsi="Arial" w:cs="Arial"/>
          <w:sz w:val="24"/>
          <w:szCs w:val="24"/>
        </w:rPr>
        <w:t>&gt;&gt;</w:t>
      </w:r>
    </w:p>
    <w:p w14:paraId="44868F7E" w14:textId="56AE1A2E" w:rsidR="00353A64" w:rsidRPr="00690531" w:rsidRDefault="00353A64" w:rsidP="00B71A5C">
      <w:pPr>
        <w:rPr>
          <w:rFonts w:ascii="Arial" w:hAnsi="Arial" w:cs="Arial"/>
          <w:sz w:val="24"/>
          <w:szCs w:val="24"/>
        </w:rPr>
      </w:pPr>
    </w:p>
    <w:p w14:paraId="40E2D9EF" w14:textId="7041EC48" w:rsidR="00CA05B6" w:rsidRPr="00690531" w:rsidRDefault="00CA05B6" w:rsidP="00CA05B6">
      <w:pPr>
        <w:autoSpaceDE w:val="0"/>
        <w:autoSpaceDN w:val="0"/>
        <w:adjustRightInd w:val="0"/>
        <w:spacing w:after="0" w:line="240" w:lineRule="auto"/>
        <w:rPr>
          <w:rFonts w:ascii="Arial" w:hAnsi="Arial" w:cs="Arial"/>
          <w:sz w:val="24"/>
          <w:szCs w:val="24"/>
        </w:rPr>
      </w:pPr>
      <w:r w:rsidRPr="00690531">
        <w:rPr>
          <w:rFonts w:ascii="Arial" w:hAnsi="Arial" w:cs="Arial"/>
          <w:sz w:val="24"/>
          <w:szCs w:val="24"/>
        </w:rPr>
        <w:t xml:space="preserve">The example of the fracking of Hopewell city in Figure </w:t>
      </w:r>
      <w:r w:rsidR="00690531" w:rsidRPr="00690531">
        <w:rPr>
          <w:rFonts w:ascii="Arial" w:hAnsi="Arial" w:cs="Arial"/>
          <w:sz w:val="24"/>
          <w:szCs w:val="24"/>
        </w:rPr>
        <w:t>1</w:t>
      </w:r>
      <w:r w:rsidRPr="00690531">
        <w:rPr>
          <w:rFonts w:ascii="Arial" w:hAnsi="Arial" w:cs="Arial"/>
          <w:b/>
          <w:bCs/>
          <w:sz w:val="24"/>
          <w:szCs w:val="24"/>
        </w:rPr>
        <w:t xml:space="preserve"> </w:t>
      </w:r>
      <w:r w:rsidRPr="00690531">
        <w:rPr>
          <w:rFonts w:ascii="Arial" w:hAnsi="Arial" w:cs="Arial"/>
          <w:sz w:val="24"/>
          <w:szCs w:val="24"/>
        </w:rPr>
        <w:t>is one that appears to be racially motivated.</w:t>
      </w:r>
      <w:r w:rsidR="00690531">
        <w:rPr>
          <w:rFonts w:ascii="Arial" w:hAnsi="Arial" w:cs="Arial"/>
          <w:sz w:val="24"/>
          <w:szCs w:val="24"/>
        </w:rPr>
        <w:t xml:space="preserve"> </w:t>
      </w:r>
      <w:r w:rsidRPr="00690531">
        <w:rPr>
          <w:rFonts w:ascii="Arial" w:hAnsi="Arial" w:cs="Arial"/>
          <w:sz w:val="24"/>
          <w:szCs w:val="24"/>
        </w:rPr>
        <w:t>There are two discontiguous pieces of Hopewell City placed by the 2011 Enacted map in district 63. One</w:t>
      </w:r>
      <w:r w:rsidR="00690531">
        <w:rPr>
          <w:rFonts w:ascii="Arial" w:hAnsi="Arial" w:cs="Arial"/>
          <w:sz w:val="24"/>
          <w:szCs w:val="24"/>
        </w:rPr>
        <w:t xml:space="preserve"> </w:t>
      </w:r>
      <w:r w:rsidRPr="00690531">
        <w:rPr>
          <w:rFonts w:ascii="Arial" w:hAnsi="Arial" w:cs="Arial"/>
          <w:sz w:val="24"/>
          <w:szCs w:val="24"/>
        </w:rPr>
        <w:t>piece has a total population of 6,519, of which 66% of it is Black voting age population (BVAP). The</w:t>
      </w:r>
      <w:r w:rsidR="00690531">
        <w:rPr>
          <w:rFonts w:ascii="Arial" w:hAnsi="Arial" w:cs="Arial"/>
          <w:sz w:val="24"/>
          <w:szCs w:val="24"/>
        </w:rPr>
        <w:t xml:space="preserve"> </w:t>
      </w:r>
      <w:r w:rsidRPr="00690531">
        <w:rPr>
          <w:rFonts w:ascii="Arial" w:hAnsi="Arial" w:cs="Arial"/>
          <w:sz w:val="24"/>
          <w:szCs w:val="24"/>
        </w:rPr>
        <w:t>other piece in District 63 that is also within Hopewell city has 857 people, with 72% BVAP. The BVAP in</w:t>
      </w:r>
      <w:r w:rsidR="00690531">
        <w:rPr>
          <w:rFonts w:ascii="Arial" w:hAnsi="Arial" w:cs="Arial"/>
          <w:sz w:val="24"/>
          <w:szCs w:val="24"/>
        </w:rPr>
        <w:t xml:space="preserve"> </w:t>
      </w:r>
      <w:r w:rsidRPr="00690531">
        <w:rPr>
          <w:rFonts w:ascii="Arial" w:hAnsi="Arial" w:cs="Arial"/>
          <w:sz w:val="24"/>
          <w:szCs w:val="24"/>
        </w:rPr>
        <w:t>the combined two pieces is 66.8%. In contrast, the piece of Hopewell city placed in District 62 that lies</w:t>
      </w:r>
    </w:p>
    <w:p w14:paraId="1D93EE49" w14:textId="77777777" w:rsidR="00690531" w:rsidRDefault="00CA05B6" w:rsidP="00CA05B6">
      <w:pPr>
        <w:autoSpaceDE w:val="0"/>
        <w:autoSpaceDN w:val="0"/>
        <w:adjustRightInd w:val="0"/>
        <w:spacing w:after="0" w:line="240" w:lineRule="auto"/>
        <w:rPr>
          <w:rFonts w:ascii="Arial" w:hAnsi="Arial" w:cs="Arial"/>
          <w:sz w:val="24"/>
          <w:szCs w:val="24"/>
        </w:rPr>
      </w:pPr>
      <w:r w:rsidRPr="00690531">
        <w:rPr>
          <w:rFonts w:ascii="Arial" w:hAnsi="Arial" w:cs="Arial"/>
          <w:sz w:val="24"/>
          <w:szCs w:val="24"/>
        </w:rPr>
        <w:t>between the two fracked areas has 2,085 people, with a 26% BVAP. In other words, splitting the district</w:t>
      </w:r>
      <w:r w:rsidR="00690531">
        <w:rPr>
          <w:rFonts w:ascii="Arial" w:hAnsi="Arial" w:cs="Arial"/>
          <w:sz w:val="24"/>
          <w:szCs w:val="24"/>
        </w:rPr>
        <w:t xml:space="preserve"> </w:t>
      </w:r>
      <w:r w:rsidRPr="00690531">
        <w:rPr>
          <w:rFonts w:ascii="Arial" w:hAnsi="Arial" w:cs="Arial"/>
          <w:sz w:val="24"/>
          <w:szCs w:val="24"/>
        </w:rPr>
        <w:t>into multiple pieces within the county worked to single out the more heavily black areas for inclusion in</w:t>
      </w:r>
      <w:r w:rsidR="00690531">
        <w:rPr>
          <w:rFonts w:ascii="Arial" w:hAnsi="Arial" w:cs="Arial"/>
          <w:sz w:val="24"/>
          <w:szCs w:val="24"/>
        </w:rPr>
        <w:t xml:space="preserve"> </w:t>
      </w:r>
      <w:r w:rsidRPr="00690531">
        <w:rPr>
          <w:rFonts w:ascii="Arial" w:hAnsi="Arial" w:cs="Arial"/>
          <w:sz w:val="24"/>
          <w:szCs w:val="24"/>
        </w:rPr>
        <w:t xml:space="preserve">District 63, with the in-between less Black area was placed into District 62. </w:t>
      </w:r>
    </w:p>
    <w:p w14:paraId="7797B4A4" w14:textId="77777777" w:rsidR="00690531" w:rsidRDefault="00690531" w:rsidP="00CA05B6">
      <w:pPr>
        <w:autoSpaceDE w:val="0"/>
        <w:autoSpaceDN w:val="0"/>
        <w:adjustRightInd w:val="0"/>
        <w:spacing w:after="0" w:line="240" w:lineRule="auto"/>
        <w:rPr>
          <w:rFonts w:ascii="Arial" w:hAnsi="Arial" w:cs="Arial"/>
          <w:sz w:val="24"/>
          <w:szCs w:val="24"/>
        </w:rPr>
      </w:pPr>
    </w:p>
    <w:p w14:paraId="059A17E3" w14:textId="4F291F04" w:rsidR="008D017B" w:rsidRPr="00690531" w:rsidRDefault="00CA05B6" w:rsidP="00CA05B6">
      <w:pPr>
        <w:autoSpaceDE w:val="0"/>
        <w:autoSpaceDN w:val="0"/>
        <w:adjustRightInd w:val="0"/>
        <w:spacing w:after="0" w:line="240" w:lineRule="auto"/>
        <w:rPr>
          <w:rFonts w:ascii="Arial" w:hAnsi="Arial" w:cs="Arial"/>
          <w:sz w:val="24"/>
          <w:szCs w:val="24"/>
        </w:rPr>
      </w:pPr>
      <w:r w:rsidRPr="00690531">
        <w:rPr>
          <w:rFonts w:ascii="Arial" w:hAnsi="Arial" w:cs="Arial"/>
          <w:sz w:val="24"/>
          <w:szCs w:val="24"/>
        </w:rPr>
        <w:t>But racial gerrymandering might not be the only explanation for the presence of a “fracked” city or county. Sometimes, for example, it might be done to avoid the home of an incumbent and avoid a pairing of incumbents. But, in general, without legally compelling reasons, mapmakers ought not to frack.</w:t>
      </w:r>
    </w:p>
    <w:p w14:paraId="5777890C" w14:textId="10F90B0A" w:rsidR="00E358BD" w:rsidRDefault="00E358BD" w:rsidP="00B71A5C">
      <w:pPr>
        <w:rPr>
          <w:rFonts w:ascii="Arial" w:hAnsi="Arial" w:cs="Arial"/>
          <w:sz w:val="20"/>
          <w:szCs w:val="20"/>
        </w:rPr>
      </w:pPr>
    </w:p>
    <w:p w14:paraId="3D29399A" w14:textId="7193A0E9" w:rsidR="00690531" w:rsidRDefault="00690531" w:rsidP="00B71A5C">
      <w:pPr>
        <w:rPr>
          <w:rFonts w:ascii="Arial" w:hAnsi="Arial" w:cs="Arial"/>
          <w:sz w:val="20"/>
          <w:szCs w:val="20"/>
        </w:rPr>
      </w:pPr>
    </w:p>
    <w:p w14:paraId="4790EDED" w14:textId="1E046A80" w:rsidR="00690531" w:rsidRDefault="00690531" w:rsidP="00B71A5C">
      <w:pPr>
        <w:rPr>
          <w:rFonts w:ascii="Arial" w:hAnsi="Arial" w:cs="Arial"/>
          <w:sz w:val="20"/>
          <w:szCs w:val="20"/>
        </w:rPr>
      </w:pPr>
    </w:p>
    <w:p w14:paraId="2A767C54" w14:textId="1E8C7577" w:rsidR="00690531" w:rsidRDefault="00690531" w:rsidP="00B71A5C">
      <w:pPr>
        <w:rPr>
          <w:rFonts w:ascii="Arial" w:hAnsi="Arial" w:cs="Arial"/>
          <w:sz w:val="20"/>
          <w:szCs w:val="20"/>
        </w:rPr>
      </w:pPr>
    </w:p>
    <w:p w14:paraId="0D830CA2" w14:textId="77885161" w:rsidR="00690531" w:rsidRDefault="00690531" w:rsidP="00B71A5C">
      <w:pPr>
        <w:rPr>
          <w:rFonts w:ascii="Arial" w:hAnsi="Arial" w:cs="Arial"/>
          <w:sz w:val="20"/>
          <w:szCs w:val="20"/>
        </w:rPr>
      </w:pPr>
    </w:p>
    <w:p w14:paraId="43A6EEB9" w14:textId="76210C0A" w:rsidR="00690531" w:rsidRDefault="00690531" w:rsidP="00B71A5C">
      <w:pPr>
        <w:rPr>
          <w:rFonts w:ascii="Arial" w:hAnsi="Arial" w:cs="Arial"/>
          <w:sz w:val="20"/>
          <w:szCs w:val="20"/>
        </w:rPr>
      </w:pPr>
    </w:p>
    <w:p w14:paraId="6CD7DDDB" w14:textId="77777777" w:rsidR="00690531" w:rsidRPr="00C81623" w:rsidRDefault="00690531" w:rsidP="00B71A5C">
      <w:pPr>
        <w:rPr>
          <w:rFonts w:ascii="Arial" w:hAnsi="Arial" w:cs="Arial"/>
          <w:sz w:val="20"/>
          <w:szCs w:val="20"/>
        </w:rPr>
      </w:pPr>
    </w:p>
    <w:tbl>
      <w:tblPr>
        <w:tblStyle w:val="TableGrid"/>
        <w:tblW w:w="4995" w:type="pct"/>
        <w:tblLook w:val="04A0" w:firstRow="1" w:lastRow="0" w:firstColumn="1" w:lastColumn="0" w:noHBand="0" w:noVBand="1"/>
      </w:tblPr>
      <w:tblGrid>
        <w:gridCol w:w="9350"/>
      </w:tblGrid>
      <w:tr w:rsidR="00001E05" w:rsidRPr="00C81623" w14:paraId="54A01358" w14:textId="77777777" w:rsidTr="00214B9F">
        <w:trPr>
          <w:cantSplit/>
        </w:trPr>
        <w:tc>
          <w:tcPr>
            <w:tcW w:w="5000" w:type="pct"/>
          </w:tcPr>
          <w:p w14:paraId="56109139" w14:textId="3A5F245B" w:rsidR="00001E05" w:rsidRPr="00C81623" w:rsidRDefault="00001E05" w:rsidP="00B71A5C">
            <w:pPr>
              <w:rPr>
                <w:rStyle w:val="Strong"/>
                <w:rFonts w:ascii="Arial" w:hAnsi="Arial" w:cs="Arial"/>
                <w:sz w:val="20"/>
                <w:szCs w:val="20"/>
              </w:rPr>
            </w:pPr>
            <w:r w:rsidRPr="00C81623">
              <w:rPr>
                <w:rStyle w:val="Strong"/>
                <w:rFonts w:ascii="Arial" w:hAnsi="Arial" w:cs="Arial"/>
                <w:sz w:val="20"/>
                <w:szCs w:val="20"/>
              </w:rPr>
              <w:t>FIGURE 1</w:t>
            </w:r>
            <w:r w:rsidR="00267833">
              <w:rPr>
                <w:rStyle w:val="Strong"/>
                <w:rFonts w:ascii="Arial" w:hAnsi="Arial" w:cs="Arial"/>
                <w:sz w:val="20"/>
                <w:szCs w:val="20"/>
              </w:rPr>
              <w:t xml:space="preserve">. </w:t>
            </w:r>
            <w:r w:rsidRPr="00C81623">
              <w:rPr>
                <w:rStyle w:val="Strong"/>
                <w:rFonts w:ascii="Arial" w:hAnsi="Arial" w:cs="Arial"/>
                <w:sz w:val="20"/>
                <w:szCs w:val="20"/>
              </w:rPr>
              <w:t>Example of the Fracked City of Hopewell in Virginia, State House of Delegates Enacted plan (2011)</w:t>
            </w:r>
          </w:p>
        </w:tc>
      </w:tr>
      <w:tr w:rsidR="00001E05" w:rsidRPr="00C81623" w14:paraId="1E849D2D" w14:textId="77777777" w:rsidTr="00214B9F">
        <w:trPr>
          <w:cantSplit/>
        </w:trPr>
        <w:tc>
          <w:tcPr>
            <w:tcW w:w="5000" w:type="pct"/>
          </w:tcPr>
          <w:p w14:paraId="1C12F66E" w14:textId="14BF5842" w:rsidR="00001E05" w:rsidRPr="00C81623" w:rsidRDefault="00CA05B6" w:rsidP="00B71A5C">
            <w:pPr>
              <w:rPr>
                <w:rFonts w:ascii="Arial" w:hAnsi="Arial" w:cs="Arial"/>
                <w:sz w:val="20"/>
                <w:szCs w:val="20"/>
              </w:rPr>
            </w:pPr>
            <w:r w:rsidRPr="00C81623">
              <w:rPr>
                <w:rFonts w:ascii="Arial" w:hAnsi="Arial" w:cs="Arial"/>
                <w:noProof/>
                <w:sz w:val="20"/>
                <w:szCs w:val="20"/>
              </w:rPr>
              <w:drawing>
                <wp:inline distT="0" distB="0" distL="0" distR="0" wp14:anchorId="36FFB1FF" wp14:editId="787AA957">
                  <wp:extent cx="5943600"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62550"/>
                          </a:xfrm>
                          <a:prstGeom prst="rect">
                            <a:avLst/>
                          </a:prstGeom>
                          <a:noFill/>
                          <a:ln>
                            <a:noFill/>
                          </a:ln>
                        </pic:spPr>
                      </pic:pic>
                    </a:graphicData>
                  </a:graphic>
                </wp:inline>
              </w:drawing>
            </w:r>
          </w:p>
        </w:tc>
      </w:tr>
      <w:tr w:rsidR="00001E05" w:rsidRPr="00C81623" w14:paraId="54A626DA" w14:textId="77777777" w:rsidTr="00214B9F">
        <w:trPr>
          <w:cantSplit/>
        </w:trPr>
        <w:tc>
          <w:tcPr>
            <w:tcW w:w="5000" w:type="pct"/>
          </w:tcPr>
          <w:p w14:paraId="608E7833" w14:textId="75BA87E2" w:rsidR="00001E05" w:rsidRPr="00C81623" w:rsidRDefault="00001E05" w:rsidP="00B71A5C">
            <w:pPr>
              <w:rPr>
                <w:rFonts w:ascii="Arial" w:hAnsi="Arial" w:cs="Arial"/>
                <w:color w:val="FF0000"/>
                <w:sz w:val="20"/>
                <w:szCs w:val="20"/>
              </w:rPr>
            </w:pPr>
            <w:r w:rsidRPr="00C81623">
              <w:rPr>
                <w:rFonts w:ascii="Arial" w:hAnsi="Arial" w:cs="Arial"/>
                <w:spacing w:val="11"/>
                <w:sz w:val="20"/>
                <w:szCs w:val="20"/>
              </w:rPr>
              <w:t xml:space="preserve">Note: </w:t>
            </w:r>
            <w:r w:rsidRPr="00C81623">
              <w:rPr>
                <w:rFonts w:ascii="Arial" w:hAnsi="Arial" w:cs="Arial"/>
                <w:sz w:val="20"/>
                <w:szCs w:val="20"/>
              </w:rPr>
              <w:t>The red area is district 63. The two non-contiguous areas inside the boundary of Hopewell City are the fracked areas.</w:t>
            </w:r>
          </w:p>
        </w:tc>
      </w:tr>
    </w:tbl>
    <w:p w14:paraId="40B6B0C3" w14:textId="3744B2A2" w:rsidR="00E745E8" w:rsidRDefault="00E745E8">
      <w:pPr>
        <w:rPr>
          <w:rFonts w:ascii="Arial" w:hAnsi="Arial" w:cs="Arial"/>
          <w:sz w:val="20"/>
          <w:szCs w:val="20"/>
        </w:rPr>
      </w:pPr>
    </w:p>
    <w:p w14:paraId="6185AF6A" w14:textId="77777777" w:rsidR="00FA6CE0" w:rsidRPr="00C81623" w:rsidRDefault="00FA6CE0">
      <w:pPr>
        <w:rPr>
          <w:rFonts w:ascii="Arial" w:hAnsi="Arial" w:cs="Arial"/>
          <w:sz w:val="20"/>
          <w:szCs w:val="20"/>
        </w:rPr>
      </w:pPr>
    </w:p>
    <w:p w14:paraId="633C521F" w14:textId="77777777" w:rsidR="00690531" w:rsidRDefault="00690531" w:rsidP="008930FC">
      <w:pPr>
        <w:rPr>
          <w:rFonts w:ascii="Arial" w:hAnsi="Arial" w:cs="Arial"/>
          <w:sz w:val="20"/>
          <w:szCs w:val="20"/>
        </w:rPr>
      </w:pPr>
    </w:p>
    <w:p w14:paraId="2E8789F1" w14:textId="77777777" w:rsidR="00690531" w:rsidRDefault="00690531" w:rsidP="008930FC">
      <w:pPr>
        <w:rPr>
          <w:rFonts w:ascii="Arial" w:hAnsi="Arial" w:cs="Arial"/>
          <w:sz w:val="20"/>
          <w:szCs w:val="20"/>
        </w:rPr>
      </w:pPr>
    </w:p>
    <w:p w14:paraId="0C2587C9" w14:textId="77777777" w:rsidR="00690531" w:rsidRDefault="00690531" w:rsidP="008930FC">
      <w:pPr>
        <w:rPr>
          <w:rFonts w:ascii="Arial" w:hAnsi="Arial" w:cs="Arial"/>
          <w:sz w:val="20"/>
          <w:szCs w:val="20"/>
        </w:rPr>
      </w:pPr>
    </w:p>
    <w:p w14:paraId="4C1321C6" w14:textId="77777777" w:rsidR="00690531" w:rsidRDefault="00690531" w:rsidP="008930FC">
      <w:pPr>
        <w:rPr>
          <w:rFonts w:ascii="Arial" w:hAnsi="Arial" w:cs="Arial"/>
          <w:sz w:val="20"/>
          <w:szCs w:val="20"/>
        </w:rPr>
      </w:pPr>
    </w:p>
    <w:p w14:paraId="437A48B4" w14:textId="77777777" w:rsidR="00690531" w:rsidRDefault="00690531" w:rsidP="008930FC">
      <w:pPr>
        <w:rPr>
          <w:rFonts w:ascii="Arial" w:hAnsi="Arial" w:cs="Arial"/>
          <w:sz w:val="20"/>
          <w:szCs w:val="20"/>
        </w:rPr>
      </w:pPr>
    </w:p>
    <w:p w14:paraId="5B745ED4" w14:textId="77777777" w:rsidR="00690531" w:rsidRDefault="00690531" w:rsidP="008930FC">
      <w:pPr>
        <w:rPr>
          <w:rFonts w:ascii="Arial" w:hAnsi="Arial" w:cs="Arial"/>
          <w:sz w:val="20"/>
          <w:szCs w:val="20"/>
        </w:rPr>
      </w:pPr>
    </w:p>
    <w:p w14:paraId="03D5F6BF" w14:textId="4543F755" w:rsidR="00964648" w:rsidRPr="00C81623" w:rsidRDefault="00964648" w:rsidP="008930FC">
      <w:pPr>
        <w:rPr>
          <w:rFonts w:ascii="Arial" w:hAnsi="Arial" w:cs="Arial"/>
          <w:sz w:val="20"/>
          <w:szCs w:val="20"/>
        </w:rPr>
      </w:pPr>
      <w:r w:rsidRPr="00C81623">
        <w:rPr>
          <w:rFonts w:ascii="Arial" w:hAnsi="Arial" w:cs="Arial"/>
          <w:sz w:val="20"/>
          <w:szCs w:val="20"/>
        </w:rPr>
        <w:lastRenderedPageBreak/>
        <w:t>REFERENCES</w:t>
      </w:r>
    </w:p>
    <w:p w14:paraId="56D0D51E" w14:textId="738B9A61" w:rsidR="00E358BD" w:rsidRPr="00C81623" w:rsidRDefault="00E358BD" w:rsidP="00E358BD">
      <w:pPr>
        <w:autoSpaceDE w:val="0"/>
        <w:autoSpaceDN w:val="0"/>
        <w:adjustRightInd w:val="0"/>
        <w:spacing w:after="0" w:line="240" w:lineRule="auto"/>
        <w:rPr>
          <w:rFonts w:ascii="Arial" w:hAnsi="Arial" w:cs="Arial"/>
          <w:sz w:val="20"/>
          <w:szCs w:val="20"/>
        </w:rPr>
      </w:pPr>
      <w:r w:rsidRPr="00C81623">
        <w:rPr>
          <w:rFonts w:ascii="Arial" w:hAnsi="Arial" w:cs="Arial"/>
          <w:sz w:val="20"/>
          <w:szCs w:val="20"/>
        </w:rPr>
        <w:t xml:space="preserve">Grofman, Bernard. 1985. “Criteria for Districting: A Social Science Perspective.” </w:t>
      </w:r>
      <w:r w:rsidRPr="00C81623">
        <w:rPr>
          <w:rFonts w:ascii="Arial" w:hAnsi="Arial" w:cs="Arial"/>
          <w:i/>
          <w:iCs/>
          <w:sz w:val="20"/>
          <w:szCs w:val="20"/>
        </w:rPr>
        <w:t xml:space="preserve">UCLA Law Review </w:t>
      </w:r>
      <w:r w:rsidRPr="00C81623">
        <w:rPr>
          <w:rFonts w:ascii="Arial" w:hAnsi="Arial" w:cs="Arial"/>
          <w:sz w:val="20"/>
          <w:szCs w:val="20"/>
        </w:rPr>
        <w:t>33: 77–184.</w:t>
      </w:r>
    </w:p>
    <w:p w14:paraId="306C57D1" w14:textId="77777777" w:rsidR="00E358BD" w:rsidRPr="00C81623" w:rsidRDefault="00E358BD" w:rsidP="00E358BD">
      <w:pPr>
        <w:autoSpaceDE w:val="0"/>
        <w:autoSpaceDN w:val="0"/>
        <w:adjustRightInd w:val="0"/>
        <w:spacing w:after="0" w:line="240" w:lineRule="auto"/>
        <w:rPr>
          <w:rFonts w:ascii="Arial" w:hAnsi="Arial" w:cs="Arial"/>
          <w:sz w:val="20"/>
          <w:szCs w:val="20"/>
        </w:rPr>
      </w:pPr>
    </w:p>
    <w:p w14:paraId="62C25863" w14:textId="398FA59A" w:rsidR="0087583D" w:rsidRPr="00C81623" w:rsidRDefault="0040741E" w:rsidP="00E358BD">
      <w:pPr>
        <w:rPr>
          <w:rFonts w:ascii="Arial" w:hAnsi="Arial" w:cs="Arial"/>
          <w:sz w:val="20"/>
          <w:szCs w:val="20"/>
        </w:rPr>
      </w:pPr>
      <w:r w:rsidRPr="00C81623">
        <w:rPr>
          <w:rFonts w:ascii="Arial" w:hAnsi="Arial" w:cs="Arial"/>
          <w:sz w:val="20"/>
          <w:szCs w:val="20"/>
        </w:rPr>
        <w:t>Grofman, Bernard. 1993.</w:t>
      </w:r>
      <w:r w:rsidR="00B71A5C" w:rsidRPr="00C81623">
        <w:rPr>
          <w:rFonts w:ascii="Arial" w:hAnsi="Arial" w:cs="Arial"/>
          <w:sz w:val="20"/>
          <w:szCs w:val="20"/>
        </w:rPr>
        <w:t xml:space="preserve"> </w:t>
      </w:r>
      <w:r w:rsidRPr="00C81623">
        <w:rPr>
          <w:rFonts w:ascii="Arial" w:hAnsi="Arial" w:cs="Arial"/>
          <w:sz w:val="20"/>
          <w:szCs w:val="20"/>
        </w:rPr>
        <w:t>Would Vince Lombardi have been Right if he had Said, `When it Comes to Redistricting, Race isn't Everything, it's the Only Thing'</w:t>
      </w:r>
      <w:r w:rsidRPr="00C81623">
        <w:rPr>
          <w:rFonts w:ascii="Arial" w:hAnsi="Arial" w:cs="Arial"/>
          <w:i/>
          <w:iCs/>
          <w:sz w:val="20"/>
          <w:szCs w:val="20"/>
        </w:rPr>
        <w:t>?</w:t>
      </w:r>
      <w:r w:rsidR="00B71A5C" w:rsidRPr="00C81623">
        <w:rPr>
          <w:rFonts w:ascii="Arial" w:hAnsi="Arial" w:cs="Arial"/>
          <w:i/>
          <w:iCs/>
          <w:sz w:val="20"/>
          <w:szCs w:val="20"/>
        </w:rPr>
        <w:t xml:space="preserve"> </w:t>
      </w:r>
      <w:r w:rsidRPr="00C81623">
        <w:rPr>
          <w:rFonts w:ascii="Arial" w:hAnsi="Arial" w:cs="Arial"/>
          <w:i/>
          <w:iCs/>
          <w:sz w:val="20"/>
          <w:szCs w:val="20"/>
        </w:rPr>
        <w:t>Cardozo Law Review</w:t>
      </w:r>
      <w:r w:rsidRPr="00C81623">
        <w:rPr>
          <w:rFonts w:ascii="Arial" w:hAnsi="Arial" w:cs="Arial"/>
          <w:sz w:val="20"/>
          <w:szCs w:val="20"/>
        </w:rPr>
        <w:t>, 14(5):1237-1276.</w:t>
      </w:r>
    </w:p>
    <w:p w14:paraId="4153BC9D" w14:textId="0FC660C7" w:rsidR="006811F1" w:rsidRPr="00C81623" w:rsidRDefault="006811F1" w:rsidP="0040741E">
      <w:pPr>
        <w:spacing w:line="240" w:lineRule="auto"/>
        <w:rPr>
          <w:rFonts w:ascii="Arial" w:hAnsi="Arial" w:cs="Arial"/>
          <w:sz w:val="20"/>
          <w:szCs w:val="20"/>
        </w:rPr>
      </w:pPr>
      <w:r w:rsidRPr="00C81623">
        <w:rPr>
          <w:rFonts w:ascii="Arial" w:hAnsi="Arial" w:cs="Arial"/>
          <w:bCs/>
          <w:sz w:val="20"/>
          <w:szCs w:val="20"/>
        </w:rPr>
        <w:t>Grofman, Bernard. 2019.</w:t>
      </w:r>
      <w:r w:rsidR="00C20E8F" w:rsidRPr="00C81623">
        <w:rPr>
          <w:rFonts w:ascii="Arial" w:hAnsi="Arial" w:cs="Arial"/>
          <w:bCs/>
          <w:sz w:val="20"/>
          <w:szCs w:val="20"/>
        </w:rPr>
        <w:t xml:space="preserve"> </w:t>
      </w:r>
      <w:r w:rsidRPr="00C81623">
        <w:rPr>
          <w:rFonts w:ascii="Arial" w:hAnsi="Arial" w:cs="Arial"/>
          <w:sz w:val="20"/>
          <w:szCs w:val="20"/>
        </w:rPr>
        <w:t xml:space="preserve">Report of the Special Master in </w:t>
      </w:r>
      <w:r w:rsidRPr="00C81623">
        <w:rPr>
          <w:rFonts w:ascii="Arial" w:hAnsi="Arial" w:cs="Arial"/>
          <w:i/>
          <w:iCs/>
          <w:sz w:val="20"/>
          <w:szCs w:val="20"/>
        </w:rPr>
        <w:t>Golden Bethune-Hill v. Virginia State Board of Elections</w:t>
      </w:r>
      <w:r w:rsidRPr="00C81623">
        <w:rPr>
          <w:rFonts w:ascii="Arial" w:hAnsi="Arial" w:cs="Arial"/>
          <w:sz w:val="20"/>
          <w:szCs w:val="20"/>
        </w:rPr>
        <w:t>, Civil Action No. 3:14cv852 (January 17).</w:t>
      </w:r>
    </w:p>
    <w:p w14:paraId="1108E66D" w14:textId="4C804193" w:rsidR="00E358BD" w:rsidRPr="00C81623" w:rsidRDefault="00E358BD" w:rsidP="0040741E">
      <w:pPr>
        <w:spacing w:line="240" w:lineRule="auto"/>
        <w:rPr>
          <w:rFonts w:ascii="Arial" w:hAnsi="Arial" w:cs="Arial"/>
          <w:bCs/>
          <w:sz w:val="20"/>
          <w:szCs w:val="20"/>
        </w:rPr>
      </w:pPr>
      <w:r w:rsidRPr="00C81623">
        <w:rPr>
          <w:rFonts w:ascii="Arial" w:hAnsi="Arial" w:cs="Arial"/>
          <w:bCs/>
          <w:sz w:val="20"/>
          <w:szCs w:val="20"/>
        </w:rPr>
        <w:t>National Conference of State Legislatures. 2020.</w:t>
      </w:r>
      <w:r w:rsidR="00C81623">
        <w:rPr>
          <w:rFonts w:ascii="Arial" w:hAnsi="Arial" w:cs="Arial"/>
          <w:bCs/>
          <w:sz w:val="20"/>
          <w:szCs w:val="20"/>
        </w:rPr>
        <w:t xml:space="preserve"> </w:t>
      </w:r>
      <w:r w:rsidRPr="00C81623">
        <w:rPr>
          <w:rFonts w:ascii="Arial" w:hAnsi="Arial" w:cs="Arial"/>
          <w:bCs/>
          <w:i/>
          <w:iCs/>
          <w:sz w:val="20"/>
          <w:szCs w:val="20"/>
        </w:rPr>
        <w:t>Redistricting Law, 2020</w:t>
      </w:r>
      <w:r w:rsidRPr="00C81623">
        <w:rPr>
          <w:rFonts w:ascii="Arial" w:hAnsi="Arial" w:cs="Arial"/>
          <w:bCs/>
          <w:sz w:val="20"/>
          <w:szCs w:val="20"/>
        </w:rPr>
        <w:t>. NCSL, Denver, CO.</w:t>
      </w:r>
    </w:p>
    <w:p w14:paraId="56C107BD" w14:textId="44306E6B" w:rsidR="0087583D" w:rsidRPr="00C81623" w:rsidRDefault="0040741E" w:rsidP="0040741E">
      <w:pPr>
        <w:spacing w:line="240" w:lineRule="auto"/>
        <w:rPr>
          <w:rFonts w:ascii="Arial" w:hAnsi="Arial" w:cs="Arial"/>
          <w:sz w:val="20"/>
          <w:szCs w:val="20"/>
        </w:rPr>
      </w:pPr>
      <w:r w:rsidRPr="00C81623">
        <w:rPr>
          <w:rFonts w:ascii="Arial" w:hAnsi="Arial" w:cs="Arial"/>
          <w:bCs/>
          <w:sz w:val="20"/>
          <w:szCs w:val="20"/>
        </w:rPr>
        <w:t>Wang, Samuel S.-H., Sandra J. Chen, Richard F. Ober, Jr., Bernard Grofman, Kyle T. Barnes</w:t>
      </w:r>
      <w:r w:rsidR="006811F1" w:rsidRPr="00C81623">
        <w:rPr>
          <w:rFonts w:ascii="Arial" w:hAnsi="Arial" w:cs="Arial"/>
          <w:bCs/>
          <w:sz w:val="20"/>
          <w:szCs w:val="20"/>
        </w:rPr>
        <w:t>, and Jonathan Cervas.</w:t>
      </w:r>
      <w:r w:rsidRPr="00C81623">
        <w:rPr>
          <w:rFonts w:ascii="Arial" w:hAnsi="Arial" w:cs="Arial"/>
          <w:bCs/>
          <w:sz w:val="20"/>
          <w:szCs w:val="20"/>
        </w:rPr>
        <w:t xml:space="preserve"> 202</w:t>
      </w:r>
      <w:r w:rsidR="00755CB8" w:rsidRPr="00C81623">
        <w:rPr>
          <w:rFonts w:ascii="Arial" w:hAnsi="Arial" w:cs="Arial"/>
          <w:bCs/>
          <w:sz w:val="20"/>
          <w:szCs w:val="20"/>
        </w:rPr>
        <w:t>2</w:t>
      </w:r>
      <w:r w:rsidRPr="00C81623">
        <w:rPr>
          <w:rFonts w:ascii="Arial" w:hAnsi="Arial" w:cs="Arial"/>
          <w:bCs/>
          <w:sz w:val="20"/>
          <w:szCs w:val="20"/>
        </w:rPr>
        <w:t xml:space="preserve"> forthcoming. </w:t>
      </w:r>
      <w:r w:rsidRPr="00C81623">
        <w:rPr>
          <w:rFonts w:ascii="Arial" w:hAnsi="Arial" w:cs="Arial"/>
          <w:sz w:val="20"/>
          <w:szCs w:val="20"/>
        </w:rPr>
        <w:t xml:space="preserve">Turning Communities of Interest into a Rigorous Standard for Fair Redistricting. </w:t>
      </w:r>
      <w:r w:rsidRPr="00C81623">
        <w:rPr>
          <w:rFonts w:ascii="Arial" w:hAnsi="Arial" w:cs="Arial"/>
          <w:i/>
          <w:iCs/>
          <w:sz w:val="20"/>
          <w:szCs w:val="20"/>
        </w:rPr>
        <w:t>Stanford Civil Rights-Civil Liberties Law Review</w:t>
      </w:r>
      <w:r w:rsidRPr="00C81623">
        <w:rPr>
          <w:rFonts w:ascii="Arial" w:hAnsi="Arial" w:cs="Arial"/>
          <w:sz w:val="20"/>
          <w:szCs w:val="20"/>
        </w:rPr>
        <w:t>.</w:t>
      </w:r>
    </w:p>
    <w:p w14:paraId="70C935FB" w14:textId="52C4C60D" w:rsidR="0087583D" w:rsidRPr="00C81623" w:rsidRDefault="0087583D" w:rsidP="0014462C">
      <w:pPr>
        <w:pStyle w:val="NormalWeb"/>
        <w:rPr>
          <w:rFonts w:ascii="Arial" w:hAnsi="Arial" w:cs="Arial"/>
          <w:sz w:val="20"/>
          <w:szCs w:val="20"/>
        </w:rPr>
      </w:pPr>
      <w:r w:rsidRPr="00C81623">
        <w:rPr>
          <w:rFonts w:ascii="Arial" w:hAnsi="Arial" w:cs="Arial"/>
          <w:sz w:val="20"/>
          <w:szCs w:val="20"/>
        </w:rPr>
        <w:t xml:space="preserve">Wang, Samuel S.-H., Richard F. Ober Jr., and Ben Williams. 2019. “Laboratories of Democracy Reform: State Constitutions and Partisan Gerrymandering.” </w:t>
      </w:r>
      <w:r w:rsidRPr="00C81623">
        <w:rPr>
          <w:rFonts w:ascii="Arial" w:hAnsi="Arial" w:cs="Arial"/>
          <w:i/>
          <w:iCs/>
          <w:sz w:val="20"/>
          <w:szCs w:val="20"/>
        </w:rPr>
        <w:t>Journal of Constitutional Law</w:t>
      </w:r>
      <w:r w:rsidRPr="00C81623">
        <w:rPr>
          <w:rFonts w:ascii="Arial" w:hAnsi="Arial" w:cs="Arial"/>
          <w:sz w:val="20"/>
          <w:szCs w:val="20"/>
        </w:rPr>
        <w:t xml:space="preserve"> 22(1): 203–90. https://scholarship.law.upenn.edu/jcl/vol22/iss1/5/.</w:t>
      </w:r>
    </w:p>
    <w:p w14:paraId="5D911E74" w14:textId="02C4E252" w:rsidR="00964648" w:rsidRPr="00C81623" w:rsidRDefault="00964648" w:rsidP="0040741E">
      <w:pPr>
        <w:rPr>
          <w:rFonts w:ascii="Arial" w:hAnsi="Arial" w:cs="Arial"/>
          <w:sz w:val="20"/>
          <w:szCs w:val="20"/>
        </w:rPr>
      </w:pPr>
      <w:r w:rsidRPr="00C81623">
        <w:rPr>
          <w:rFonts w:ascii="Arial" w:hAnsi="Arial" w:cs="Arial"/>
          <w:sz w:val="20"/>
          <w:szCs w:val="20"/>
        </w:rPr>
        <w:t>Winburn, Jonathan and Michael W. Wagner</w:t>
      </w:r>
      <w:r w:rsidR="0040741E" w:rsidRPr="00C81623">
        <w:rPr>
          <w:rFonts w:ascii="Arial" w:hAnsi="Arial" w:cs="Arial"/>
          <w:sz w:val="20"/>
          <w:szCs w:val="20"/>
        </w:rPr>
        <w:t>.</w:t>
      </w:r>
      <w:r w:rsidR="00B71A5C" w:rsidRPr="00C81623">
        <w:rPr>
          <w:rFonts w:ascii="Arial" w:hAnsi="Arial" w:cs="Arial"/>
          <w:sz w:val="20"/>
          <w:szCs w:val="20"/>
        </w:rPr>
        <w:t xml:space="preserve"> </w:t>
      </w:r>
      <w:r w:rsidRPr="00C81623">
        <w:rPr>
          <w:rFonts w:ascii="Arial" w:hAnsi="Arial" w:cs="Arial"/>
          <w:sz w:val="20"/>
          <w:szCs w:val="20"/>
        </w:rPr>
        <w:t>2010. Carving Voters Out: Redistricting's Influence on Political Information,</w:t>
      </w:r>
      <w:r w:rsidR="0040741E" w:rsidRPr="00C81623">
        <w:rPr>
          <w:rFonts w:ascii="Arial" w:hAnsi="Arial" w:cs="Arial"/>
          <w:sz w:val="20"/>
          <w:szCs w:val="20"/>
        </w:rPr>
        <w:t xml:space="preserve"> </w:t>
      </w:r>
      <w:r w:rsidRPr="00C81623">
        <w:rPr>
          <w:rFonts w:ascii="Arial" w:hAnsi="Arial" w:cs="Arial"/>
          <w:sz w:val="20"/>
          <w:szCs w:val="20"/>
        </w:rPr>
        <w:t>Turnout, and Voting Behavior.</w:t>
      </w:r>
      <w:r w:rsidR="0040741E" w:rsidRPr="00C81623">
        <w:rPr>
          <w:rFonts w:ascii="Arial" w:hAnsi="Arial" w:cs="Arial"/>
          <w:sz w:val="20"/>
          <w:szCs w:val="20"/>
        </w:rPr>
        <w:t xml:space="preserve"> </w:t>
      </w:r>
      <w:r w:rsidRPr="00C81623">
        <w:rPr>
          <w:rFonts w:ascii="Arial" w:hAnsi="Arial" w:cs="Arial"/>
          <w:i/>
          <w:iCs/>
          <w:sz w:val="20"/>
          <w:szCs w:val="20"/>
        </w:rPr>
        <w:t>Political Research Quarterly</w:t>
      </w:r>
      <w:r w:rsidR="00B71A5C" w:rsidRPr="00C81623">
        <w:rPr>
          <w:rFonts w:ascii="Arial" w:hAnsi="Arial" w:cs="Arial"/>
          <w:sz w:val="20"/>
          <w:szCs w:val="20"/>
        </w:rPr>
        <w:t xml:space="preserve"> </w:t>
      </w:r>
      <w:r w:rsidRPr="00C81623">
        <w:rPr>
          <w:rFonts w:ascii="Arial" w:hAnsi="Arial" w:cs="Arial"/>
          <w:sz w:val="20"/>
          <w:szCs w:val="20"/>
        </w:rPr>
        <w:t>63 (2):</w:t>
      </w:r>
      <w:r w:rsidR="00B71A5C" w:rsidRPr="00C81623">
        <w:rPr>
          <w:rFonts w:ascii="Arial" w:hAnsi="Arial" w:cs="Arial"/>
          <w:sz w:val="20"/>
          <w:szCs w:val="20"/>
        </w:rPr>
        <w:t xml:space="preserve"> </w:t>
      </w:r>
      <w:r w:rsidRPr="00C81623">
        <w:rPr>
          <w:rFonts w:ascii="Arial" w:hAnsi="Arial" w:cs="Arial"/>
          <w:sz w:val="20"/>
          <w:szCs w:val="20"/>
        </w:rPr>
        <w:t>373-386</w:t>
      </w:r>
      <w:r w:rsidR="0040741E" w:rsidRPr="00C81623">
        <w:rPr>
          <w:rFonts w:ascii="Arial" w:hAnsi="Arial" w:cs="Arial"/>
          <w:sz w:val="20"/>
          <w:szCs w:val="20"/>
        </w:rPr>
        <w:t>.</w:t>
      </w:r>
    </w:p>
    <w:p w14:paraId="01C26136" w14:textId="69B2F1F4" w:rsidR="00DA6BCC" w:rsidRPr="00C81623" w:rsidRDefault="00E358BD" w:rsidP="00DA6BCC">
      <w:pPr>
        <w:rPr>
          <w:rFonts w:ascii="Arial" w:hAnsi="Arial" w:cs="Arial"/>
          <w:sz w:val="20"/>
          <w:szCs w:val="20"/>
        </w:rPr>
      </w:pPr>
      <w:r w:rsidRPr="00C81623">
        <w:rPr>
          <w:rFonts w:ascii="Arial" w:hAnsi="Arial" w:cs="Arial"/>
          <w:sz w:val="20"/>
          <w:szCs w:val="20"/>
        </w:rPr>
        <w:t xml:space="preserve">Kim, </w:t>
      </w:r>
      <w:r w:rsidR="00DA6BCC" w:rsidRPr="00C81623">
        <w:rPr>
          <w:rFonts w:ascii="Arial" w:hAnsi="Arial" w:cs="Arial"/>
          <w:sz w:val="20"/>
          <w:szCs w:val="20"/>
        </w:rPr>
        <w:t>Yunsieg</w:t>
      </w:r>
      <w:r w:rsidR="00C81623">
        <w:rPr>
          <w:rFonts w:ascii="Arial" w:hAnsi="Arial" w:cs="Arial"/>
          <w:sz w:val="20"/>
          <w:szCs w:val="20"/>
        </w:rPr>
        <w:t xml:space="preserve"> </w:t>
      </w:r>
      <w:r w:rsidR="00690531">
        <w:rPr>
          <w:rFonts w:ascii="Arial" w:hAnsi="Arial" w:cs="Arial"/>
          <w:sz w:val="20"/>
          <w:szCs w:val="20"/>
        </w:rPr>
        <w:t xml:space="preserve">P. </w:t>
      </w:r>
      <w:r w:rsidRPr="00C81623">
        <w:rPr>
          <w:rFonts w:ascii="Arial" w:hAnsi="Arial" w:cs="Arial"/>
          <w:sz w:val="20"/>
          <w:szCs w:val="20"/>
        </w:rPr>
        <w:t>and</w:t>
      </w:r>
      <w:r w:rsidR="00C81623">
        <w:rPr>
          <w:rFonts w:ascii="Arial" w:hAnsi="Arial" w:cs="Arial"/>
          <w:sz w:val="20"/>
          <w:szCs w:val="20"/>
        </w:rPr>
        <w:t xml:space="preserve"> </w:t>
      </w:r>
      <w:r w:rsidR="00DA6BCC" w:rsidRPr="00C81623">
        <w:rPr>
          <w:rFonts w:ascii="Arial" w:hAnsi="Arial" w:cs="Arial"/>
          <w:sz w:val="20"/>
          <w:szCs w:val="20"/>
        </w:rPr>
        <w:t>Jowei Chen</w:t>
      </w:r>
      <w:r w:rsidRPr="00C81623">
        <w:rPr>
          <w:rFonts w:ascii="Arial" w:hAnsi="Arial" w:cs="Arial"/>
          <w:sz w:val="20"/>
          <w:szCs w:val="20"/>
        </w:rPr>
        <w:t>.</w:t>
      </w:r>
      <w:r w:rsidR="00DA6BCC" w:rsidRPr="00C81623">
        <w:rPr>
          <w:rFonts w:ascii="Arial" w:hAnsi="Arial" w:cs="Arial"/>
          <w:sz w:val="20"/>
          <w:szCs w:val="20"/>
        </w:rPr>
        <w:t xml:space="preserve"> </w:t>
      </w:r>
      <w:r w:rsidRPr="00C81623">
        <w:rPr>
          <w:rFonts w:ascii="Arial" w:hAnsi="Arial" w:cs="Arial"/>
          <w:sz w:val="20"/>
          <w:szCs w:val="20"/>
        </w:rPr>
        <w:t>2021. “</w:t>
      </w:r>
      <w:r w:rsidR="00DA6BCC" w:rsidRPr="00C81623">
        <w:rPr>
          <w:rFonts w:ascii="Arial" w:hAnsi="Arial" w:cs="Arial"/>
          <w:sz w:val="20"/>
          <w:szCs w:val="20"/>
        </w:rPr>
        <w:t>Gerrymandered by Definition: The Distortion of "Traditional" Districting Criteria and a Proposal for Their Empirical Redefinition</w:t>
      </w:r>
      <w:r w:rsidRPr="00C81623">
        <w:rPr>
          <w:rFonts w:ascii="Arial" w:hAnsi="Arial" w:cs="Arial"/>
          <w:sz w:val="20"/>
          <w:szCs w:val="20"/>
        </w:rPr>
        <w:t>”</w:t>
      </w:r>
      <w:r w:rsidR="00C81623">
        <w:rPr>
          <w:rFonts w:ascii="Arial" w:hAnsi="Arial" w:cs="Arial"/>
          <w:sz w:val="20"/>
          <w:szCs w:val="20"/>
        </w:rPr>
        <w:t xml:space="preserve"> </w:t>
      </w:r>
      <w:r w:rsidR="00DA6BCC" w:rsidRPr="00C81623">
        <w:rPr>
          <w:rFonts w:ascii="Arial" w:hAnsi="Arial" w:cs="Arial"/>
          <w:i/>
          <w:iCs/>
          <w:sz w:val="20"/>
          <w:szCs w:val="20"/>
        </w:rPr>
        <w:t>Wi</w:t>
      </w:r>
      <w:r w:rsidRPr="00C81623">
        <w:rPr>
          <w:rFonts w:ascii="Arial" w:hAnsi="Arial" w:cs="Arial"/>
          <w:i/>
          <w:iCs/>
          <w:sz w:val="20"/>
          <w:szCs w:val="20"/>
        </w:rPr>
        <w:t>sconsin</w:t>
      </w:r>
      <w:r w:rsidR="00DA6BCC" w:rsidRPr="00C81623">
        <w:rPr>
          <w:rFonts w:ascii="Arial" w:hAnsi="Arial" w:cs="Arial"/>
          <w:i/>
          <w:iCs/>
          <w:sz w:val="20"/>
          <w:szCs w:val="20"/>
        </w:rPr>
        <w:t>. L</w:t>
      </w:r>
      <w:r w:rsidRPr="00C81623">
        <w:rPr>
          <w:rFonts w:ascii="Arial" w:hAnsi="Arial" w:cs="Arial"/>
          <w:i/>
          <w:iCs/>
          <w:sz w:val="20"/>
          <w:szCs w:val="20"/>
        </w:rPr>
        <w:t>aw</w:t>
      </w:r>
      <w:r w:rsidR="00C81623">
        <w:rPr>
          <w:rFonts w:ascii="Arial" w:hAnsi="Arial" w:cs="Arial"/>
          <w:i/>
          <w:iCs/>
          <w:sz w:val="20"/>
          <w:szCs w:val="20"/>
        </w:rPr>
        <w:t xml:space="preserve"> </w:t>
      </w:r>
      <w:r w:rsidRPr="00C81623">
        <w:rPr>
          <w:rFonts w:ascii="Arial" w:hAnsi="Arial" w:cs="Arial"/>
          <w:i/>
          <w:iCs/>
          <w:sz w:val="20"/>
          <w:szCs w:val="20"/>
        </w:rPr>
        <w:t>Review</w:t>
      </w:r>
      <w:r w:rsidR="00DA6BCC" w:rsidRPr="00C81623">
        <w:rPr>
          <w:rFonts w:ascii="Arial" w:hAnsi="Arial" w:cs="Arial"/>
          <w:sz w:val="20"/>
          <w:szCs w:val="20"/>
        </w:rPr>
        <w:t xml:space="preserve"> 101</w:t>
      </w:r>
      <w:r w:rsidR="00C81623">
        <w:rPr>
          <w:rFonts w:ascii="Arial" w:hAnsi="Arial" w:cs="Arial"/>
          <w:sz w:val="20"/>
          <w:szCs w:val="20"/>
        </w:rPr>
        <w:t xml:space="preserve"> </w:t>
      </w:r>
    </w:p>
    <w:p w14:paraId="562B2174" w14:textId="1917F5BD" w:rsidR="00DA6BCC" w:rsidRPr="00C81623" w:rsidRDefault="00DA6BCC" w:rsidP="0040741E">
      <w:pPr>
        <w:rPr>
          <w:rFonts w:ascii="Arial" w:hAnsi="Arial" w:cs="Arial"/>
          <w:sz w:val="20"/>
          <w:szCs w:val="20"/>
        </w:rPr>
      </w:pPr>
    </w:p>
    <w:p w14:paraId="3B9D58A0" w14:textId="2898C9F2" w:rsidR="00964648" w:rsidRPr="00C81623" w:rsidRDefault="00964648">
      <w:pPr>
        <w:rPr>
          <w:rFonts w:ascii="Arial" w:hAnsi="Arial" w:cs="Arial"/>
          <w:sz w:val="20"/>
          <w:szCs w:val="20"/>
        </w:rPr>
      </w:pPr>
      <w:r w:rsidRPr="00C81623">
        <w:rPr>
          <w:rFonts w:ascii="Arial" w:hAnsi="Arial" w:cs="Arial"/>
          <w:color w:val="9D9F9C"/>
          <w:sz w:val="20"/>
          <w:szCs w:val="20"/>
        </w:rPr>
        <w:t xml:space="preserve"> </w:t>
      </w:r>
    </w:p>
    <w:sectPr w:rsidR="00964648" w:rsidRPr="00C81623" w:rsidSect="00613DD2">
      <w:headerReference w:type="even" r:id="rId9"/>
      <w:headerReference w:type="default"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114B" w14:textId="77777777" w:rsidR="00B1630F" w:rsidRDefault="00B1630F" w:rsidP="001E3533">
      <w:pPr>
        <w:spacing w:after="0" w:line="240" w:lineRule="auto"/>
      </w:pPr>
      <w:r>
        <w:separator/>
      </w:r>
    </w:p>
  </w:endnote>
  <w:endnote w:type="continuationSeparator" w:id="0">
    <w:p w14:paraId="58B40DAC" w14:textId="77777777" w:rsidR="00B1630F" w:rsidRDefault="00B1630F" w:rsidP="001E3533">
      <w:pPr>
        <w:spacing w:after="0" w:line="240" w:lineRule="auto"/>
      </w:pPr>
      <w:r>
        <w:continuationSeparator/>
      </w:r>
    </w:p>
  </w:endnote>
  <w:endnote w:type="continuationNotice" w:id="1">
    <w:p w14:paraId="78E161F1" w14:textId="77777777" w:rsidR="00B1630F" w:rsidRDefault="00B1630F">
      <w:pPr>
        <w:spacing w:after="0" w:line="240" w:lineRule="auto"/>
      </w:pPr>
    </w:p>
  </w:endnote>
  <w:endnote w:id="2">
    <w:p w14:paraId="2A9ABE46" w14:textId="77777777" w:rsidR="00690531" w:rsidRDefault="00690531">
      <w:pPr>
        <w:pStyle w:val="EndnoteText"/>
        <w:rPr>
          <w:rFonts w:ascii="Arial" w:hAnsi="Arial" w:cs="Arial"/>
        </w:rPr>
      </w:pPr>
      <w:r>
        <w:rPr>
          <w:rFonts w:ascii="Arial" w:hAnsi="Arial" w:cs="Arial"/>
        </w:rPr>
        <w:t>ENDNOTES</w:t>
      </w:r>
    </w:p>
    <w:p w14:paraId="5BE80142" w14:textId="77777777" w:rsidR="00690531" w:rsidRDefault="00690531">
      <w:pPr>
        <w:pStyle w:val="EndnoteText"/>
        <w:rPr>
          <w:rFonts w:ascii="Arial" w:hAnsi="Arial" w:cs="Arial"/>
        </w:rPr>
      </w:pPr>
    </w:p>
    <w:p w14:paraId="04FA73F6" w14:textId="0D825448" w:rsidR="00C56C6E" w:rsidRDefault="00C56C6E">
      <w:pPr>
        <w:pStyle w:val="EndnoteText"/>
        <w:rPr>
          <w:rFonts w:ascii="Arial" w:hAnsi="Arial" w:cs="Arial"/>
        </w:rPr>
      </w:pPr>
      <w:r w:rsidRPr="00C56C6E">
        <w:rPr>
          <w:rStyle w:val="EndnoteReference"/>
          <w:rFonts w:ascii="Arial" w:hAnsi="Arial" w:cs="Arial"/>
        </w:rPr>
        <w:endnoteRef/>
      </w:r>
      <w:r w:rsidRPr="00C56C6E">
        <w:rPr>
          <w:rFonts w:ascii="Arial" w:hAnsi="Arial" w:cs="Arial"/>
        </w:rPr>
        <w:t xml:space="preserve"> Communities of interest may also be cracked if parts of the community can be found in the same district but the community is divided into multiple discontiguous pieces.</w:t>
      </w:r>
    </w:p>
    <w:p w14:paraId="6B6B4EB1" w14:textId="77777777" w:rsidR="00C56C6E" w:rsidRPr="00C56C6E" w:rsidRDefault="00C56C6E">
      <w:pPr>
        <w:pStyle w:val="EndnoteText"/>
        <w:rPr>
          <w:rFonts w:ascii="Arial" w:hAnsi="Arial" w:cs="Arial"/>
        </w:rPr>
      </w:pPr>
    </w:p>
  </w:endnote>
  <w:endnote w:id="3">
    <w:p w14:paraId="7F2E48AD" w14:textId="5BB73B61" w:rsidR="00C56C6E" w:rsidRDefault="00C56C6E">
      <w:pPr>
        <w:pStyle w:val="EndnoteText"/>
        <w:rPr>
          <w:rFonts w:ascii="Arial" w:hAnsi="Arial" w:cs="Arial"/>
        </w:rPr>
      </w:pPr>
      <w:r w:rsidRPr="00C56C6E">
        <w:rPr>
          <w:rStyle w:val="EndnoteReference"/>
          <w:rFonts w:ascii="Arial" w:hAnsi="Arial" w:cs="Arial"/>
        </w:rPr>
        <w:endnoteRef/>
      </w:r>
      <w:r w:rsidRPr="00C56C6E">
        <w:rPr>
          <w:rFonts w:ascii="Arial" w:hAnsi="Arial" w:cs="Arial"/>
        </w:rPr>
        <w:t xml:space="preserve"> Report of the Special Master in </w:t>
      </w:r>
      <w:r w:rsidRPr="00C56C6E">
        <w:rPr>
          <w:rFonts w:ascii="Arial" w:hAnsi="Arial" w:cs="Arial"/>
          <w:i/>
          <w:iCs/>
        </w:rPr>
        <w:t>Golden Bethune-Hill v. Virginia State Board of Elections</w:t>
      </w:r>
      <w:r w:rsidRPr="00C56C6E">
        <w:rPr>
          <w:rFonts w:ascii="Arial" w:hAnsi="Arial" w:cs="Arial"/>
        </w:rPr>
        <w:t>, Civil Action No. 3:14cv852 (January 17, 2019).</w:t>
      </w:r>
    </w:p>
    <w:p w14:paraId="1F6DCFFB" w14:textId="77777777" w:rsidR="00C56C6E" w:rsidRPr="00C56C6E" w:rsidRDefault="00C56C6E">
      <w:pPr>
        <w:pStyle w:val="EndnoteText"/>
        <w:rPr>
          <w:rFonts w:ascii="Arial" w:hAnsi="Arial" w:cs="Arial"/>
        </w:rPr>
      </w:pPr>
    </w:p>
  </w:endnote>
  <w:endnote w:id="4">
    <w:p w14:paraId="0E457366" w14:textId="0EB6D038" w:rsidR="00C56C6E" w:rsidRDefault="00C56C6E">
      <w:pPr>
        <w:pStyle w:val="EndnoteText"/>
        <w:rPr>
          <w:rFonts w:ascii="Arial" w:hAnsi="Arial" w:cs="Arial"/>
        </w:rPr>
      </w:pPr>
      <w:r w:rsidRPr="00C56C6E">
        <w:rPr>
          <w:rStyle w:val="EndnoteReference"/>
          <w:rFonts w:ascii="Arial" w:hAnsi="Arial" w:cs="Arial"/>
        </w:rPr>
        <w:endnoteRef/>
      </w:r>
      <w:r w:rsidRPr="00C56C6E">
        <w:rPr>
          <w:rFonts w:ascii="Arial" w:hAnsi="Arial" w:cs="Arial"/>
        </w:rPr>
        <w:t xml:space="preserve"> </w:t>
      </w:r>
      <w:r w:rsidRPr="00C56C6E">
        <w:rPr>
          <w:rFonts w:ascii="Arial" w:hAnsi="Arial" w:cs="Arial"/>
          <w:i/>
          <w:iCs/>
        </w:rPr>
        <w:t>Fracking</w:t>
      </w:r>
      <w:r w:rsidRPr="00C56C6E">
        <w:rPr>
          <w:rFonts w:ascii="Arial" w:hAnsi="Arial" w:cs="Arial"/>
        </w:rPr>
        <w:t xml:space="preserve"> also reflects the idea that the effects of geological fracking can create fissures in the earth.</w:t>
      </w:r>
    </w:p>
    <w:p w14:paraId="165EA7D3" w14:textId="77777777" w:rsidR="00C56C6E" w:rsidRPr="00C56C6E" w:rsidRDefault="00C56C6E">
      <w:pPr>
        <w:pStyle w:val="EndnoteText"/>
        <w:rPr>
          <w:rFonts w:ascii="Arial" w:hAnsi="Arial" w:cs="Arial"/>
        </w:rPr>
      </w:pPr>
    </w:p>
  </w:endnote>
  <w:endnote w:id="5">
    <w:p w14:paraId="11C7601C" w14:textId="7E51DAAA" w:rsidR="00C56C6E" w:rsidRDefault="00C56C6E">
      <w:pPr>
        <w:pStyle w:val="EndnoteText"/>
        <w:rPr>
          <w:rFonts w:ascii="Arial" w:hAnsi="Arial" w:cs="Arial"/>
        </w:rPr>
      </w:pPr>
      <w:r w:rsidRPr="00C56C6E">
        <w:rPr>
          <w:rStyle w:val="EndnoteReference"/>
          <w:rFonts w:ascii="Arial" w:hAnsi="Arial" w:cs="Arial"/>
        </w:rPr>
        <w:endnoteRef/>
      </w:r>
      <w:r w:rsidRPr="00C56C6E">
        <w:rPr>
          <w:rFonts w:ascii="Arial" w:hAnsi="Arial" w:cs="Arial"/>
        </w:rPr>
        <w:t xml:space="preserve"> </w:t>
      </w:r>
      <w:r w:rsidRPr="00C56C6E">
        <w:rPr>
          <w:rFonts w:ascii="Arial" w:hAnsi="Arial" w:cs="Arial"/>
          <w:i/>
          <w:iCs/>
        </w:rPr>
        <w:t>Cognizability</w:t>
      </w:r>
      <w:r w:rsidRPr="00C56C6E">
        <w:rPr>
          <w:rFonts w:ascii="Arial" w:hAnsi="Arial" w:cs="Arial"/>
        </w:rPr>
        <w:t xml:space="preserve"> </w:t>
      </w:r>
      <w:r>
        <w:rPr>
          <w:rFonts w:ascii="Arial" w:hAnsi="Arial" w:cs="Arial"/>
        </w:rPr>
        <w:t xml:space="preserve">of districts </w:t>
      </w:r>
      <w:r w:rsidRPr="00C56C6E">
        <w:rPr>
          <w:rFonts w:ascii="Arial" w:hAnsi="Arial" w:cs="Arial"/>
        </w:rPr>
        <w:t>can have important consequences for vo</w:t>
      </w:r>
      <w:r>
        <w:rPr>
          <w:rFonts w:ascii="Arial" w:hAnsi="Arial" w:cs="Arial"/>
        </w:rPr>
        <w:t>ters</w:t>
      </w:r>
      <w:r w:rsidR="00604ACA" w:rsidRPr="00604ACA">
        <w:rPr>
          <w:rFonts w:ascii="Arial" w:hAnsi="Arial" w:cs="Arial"/>
        </w:rPr>
        <w:t xml:space="preserve"> </w:t>
      </w:r>
      <w:r w:rsidR="00604ACA" w:rsidRPr="00C56C6E">
        <w:rPr>
          <w:rFonts w:ascii="Arial" w:hAnsi="Arial" w:cs="Arial"/>
        </w:rPr>
        <w:t>in terms of incentives to participate (Winburn and Wagner, 2010; Wang et al, 2022 forthcoming</w:t>
      </w:r>
      <w:r w:rsidR="00604ACA">
        <w:rPr>
          <w:rFonts w:ascii="Arial" w:hAnsi="Arial" w:cs="Arial"/>
        </w:rPr>
        <w:t>)</w:t>
      </w:r>
      <w:r>
        <w:rPr>
          <w:rFonts w:ascii="Arial" w:hAnsi="Arial" w:cs="Arial"/>
        </w:rPr>
        <w:t>, but also for candidates in terms of focusing campaign efforts.</w:t>
      </w:r>
    </w:p>
    <w:p w14:paraId="39C56212" w14:textId="77777777" w:rsidR="00C56C6E" w:rsidRDefault="00C56C6E">
      <w:pPr>
        <w:pStyle w:val="EndnoteText"/>
        <w:rPr>
          <w:rFonts w:ascii="Arial" w:hAnsi="Arial" w:cs="Arial"/>
        </w:rPr>
      </w:pPr>
    </w:p>
    <w:p w14:paraId="7338F942" w14:textId="77777777" w:rsidR="00C56C6E" w:rsidRPr="00C56C6E" w:rsidRDefault="00C56C6E">
      <w:pPr>
        <w:pStyle w:val="EndnoteText"/>
        <w:rPr>
          <w:rFonts w:ascii="Arial" w:hAnsi="Arial" w:cs="Arial"/>
        </w:rPr>
      </w:pPr>
    </w:p>
  </w:endnote>
  <w:endnote w:id="6">
    <w:p w14:paraId="779C6DAD" w14:textId="718B6059" w:rsidR="00C56C6E" w:rsidRPr="00C56C6E" w:rsidRDefault="00C56C6E" w:rsidP="001D01A2">
      <w:pPr>
        <w:pStyle w:val="EndnoteText"/>
        <w:rPr>
          <w:rStyle w:val="Hyperlink"/>
          <w:rFonts w:ascii="Arial" w:hAnsi="Arial" w:cs="Arial"/>
        </w:rPr>
      </w:pPr>
      <w:r w:rsidRPr="00C56C6E">
        <w:rPr>
          <w:rStyle w:val="EndnoteReference"/>
          <w:rFonts w:ascii="Arial" w:hAnsi="Arial" w:cs="Arial"/>
        </w:rPr>
        <w:endnoteRef/>
      </w:r>
      <w:r w:rsidRPr="00C56C6E">
        <w:rPr>
          <w:rFonts w:ascii="Arial" w:hAnsi="Arial" w:cs="Arial"/>
        </w:rPr>
        <w:t xml:space="preserve"> Voters who receive incorrect ballots can lead to additional problems. Laura Vozzella and Ted Mellnik. “Va. election officials assigned 26 voters to the wrong district. It might’ve cost Democrats a pivotal race</w:t>
      </w:r>
      <w:r w:rsidR="00604ACA" w:rsidRPr="00C56C6E">
        <w:rPr>
          <w:rFonts w:ascii="Arial" w:hAnsi="Arial" w:cs="Arial"/>
        </w:rPr>
        <w:t>.”</w:t>
      </w:r>
      <w:r w:rsidRPr="00C56C6E">
        <w:rPr>
          <w:rFonts w:ascii="Arial" w:hAnsi="Arial" w:cs="Arial"/>
        </w:rPr>
        <w:t xml:space="preserve"> May 13, 2018. </w:t>
      </w:r>
      <w:r w:rsidRPr="00C56C6E">
        <w:rPr>
          <w:rFonts w:ascii="Arial" w:hAnsi="Arial" w:cs="Arial"/>
          <w:i/>
          <w:iCs/>
        </w:rPr>
        <w:t>Washington Post</w:t>
      </w:r>
      <w:r w:rsidRPr="00C56C6E">
        <w:rPr>
          <w:rFonts w:ascii="Arial" w:hAnsi="Arial" w:cs="Arial"/>
        </w:rPr>
        <w:t xml:space="preserve">. </w:t>
      </w:r>
      <w:hyperlink r:id="rId1" w:history="1">
        <w:r w:rsidRPr="00C56C6E">
          <w:rPr>
            <w:rStyle w:val="Hyperlink"/>
            <w:rFonts w:ascii="Arial" w:hAnsi="Arial" w:cs="Arial"/>
          </w:rPr>
          <w:t>https://www.washingtonpost.com/local/virginia-politics/voters-assigned-to-wrong-districts-may-have-cost-democrats-in-pivotal-virginia-race/2018/05/13/09a9dd8a-5465-11e8-a551-5b648abe29ef_story.html</w:t>
        </w:r>
      </w:hyperlink>
    </w:p>
    <w:p w14:paraId="48808898" w14:textId="77777777" w:rsidR="00C56C6E" w:rsidRPr="00C56C6E" w:rsidRDefault="00C56C6E" w:rsidP="001D01A2">
      <w:pPr>
        <w:pStyle w:val="EndnoteText"/>
        <w:rPr>
          <w:rFonts w:ascii="Arial" w:hAnsi="Arial" w:cs="Arial"/>
        </w:rPr>
      </w:pPr>
    </w:p>
  </w:endnote>
  <w:endnote w:id="7">
    <w:p w14:paraId="231B215F" w14:textId="0605162D" w:rsidR="00C56C6E" w:rsidRPr="00C56C6E" w:rsidRDefault="00C56C6E" w:rsidP="00755CB8">
      <w:pPr>
        <w:pStyle w:val="EndnoteText"/>
        <w:rPr>
          <w:rFonts w:ascii="Arial" w:hAnsi="Arial" w:cs="Arial"/>
        </w:rPr>
      </w:pPr>
      <w:r w:rsidRPr="00C56C6E">
        <w:rPr>
          <w:rStyle w:val="EndnoteReference"/>
          <w:rFonts w:ascii="Arial" w:hAnsi="Arial" w:cs="Arial"/>
        </w:rPr>
        <w:endnoteRef/>
      </w:r>
      <w:r w:rsidRPr="00C56C6E">
        <w:rPr>
          <w:rFonts w:ascii="Arial" w:hAnsi="Arial" w:cs="Arial"/>
        </w:rPr>
        <w:t xml:space="preserve"> Non-fragmentation of communities of interest is also commonly found in this list (See Wang et al., 2022 forthcoming).</w:t>
      </w:r>
    </w:p>
    <w:p w14:paraId="0C305F7E" w14:textId="77777777" w:rsidR="00C56C6E" w:rsidRPr="00C56C6E" w:rsidRDefault="00C56C6E" w:rsidP="00755CB8">
      <w:pPr>
        <w:pStyle w:val="EndnoteText"/>
        <w:rPr>
          <w:rFonts w:ascii="Arial" w:hAnsi="Arial" w:cs="Arial"/>
        </w:rPr>
      </w:pPr>
    </w:p>
  </w:endnote>
  <w:endnote w:id="8">
    <w:p w14:paraId="7F32C8C5" w14:textId="4A1B4A06" w:rsidR="00C56C6E" w:rsidRPr="00C56C6E" w:rsidRDefault="00C56C6E" w:rsidP="00755CB8">
      <w:pPr>
        <w:autoSpaceDE w:val="0"/>
        <w:autoSpaceDN w:val="0"/>
        <w:adjustRightInd w:val="0"/>
        <w:spacing w:after="0" w:line="240" w:lineRule="auto"/>
        <w:rPr>
          <w:rFonts w:ascii="Arial" w:hAnsi="Arial" w:cs="Arial"/>
          <w:sz w:val="20"/>
          <w:szCs w:val="20"/>
        </w:rPr>
      </w:pPr>
      <w:r w:rsidRPr="00C56C6E">
        <w:rPr>
          <w:rStyle w:val="EndnoteReference"/>
          <w:rFonts w:ascii="Arial" w:hAnsi="Arial" w:cs="Arial"/>
          <w:sz w:val="20"/>
          <w:szCs w:val="20"/>
        </w:rPr>
        <w:endnoteRef/>
      </w:r>
      <w:r w:rsidRPr="00C56C6E">
        <w:rPr>
          <w:rFonts w:ascii="Arial" w:hAnsi="Arial" w:cs="Arial"/>
          <w:sz w:val="20"/>
          <w:szCs w:val="20"/>
        </w:rPr>
        <w:t xml:space="preserve"> In evaluating the number of splits generated by either method, attention must be paid to the number of splits that would be forced by population considerations, since some jurisdictions may have population that exceeds what can be contained in a single district. </w:t>
      </w:r>
    </w:p>
    <w:p w14:paraId="6F0D9E65" w14:textId="5A4D2527" w:rsidR="00C56C6E" w:rsidRPr="00C56C6E" w:rsidRDefault="00C56C6E" w:rsidP="00C56C6E">
      <w:pPr>
        <w:rPr>
          <w:rFonts w:ascii="Arial" w:hAnsi="Arial" w:cs="Arial"/>
          <w:sz w:val="20"/>
          <w:szCs w:val="20"/>
        </w:rPr>
      </w:pPr>
    </w:p>
  </w:endnote>
  <w:endnote w:id="9">
    <w:p w14:paraId="27C2E903" w14:textId="38CDC06D" w:rsidR="00C56C6E" w:rsidRPr="00C56C6E" w:rsidRDefault="00C56C6E" w:rsidP="00C56C6E">
      <w:r w:rsidRPr="00C56C6E">
        <w:rPr>
          <w:rStyle w:val="EndnoteReference"/>
          <w:rFonts w:ascii="Arial" w:hAnsi="Arial" w:cs="Arial"/>
          <w:sz w:val="20"/>
          <w:szCs w:val="20"/>
        </w:rPr>
        <w:endnoteRef/>
      </w:r>
      <w:r w:rsidRPr="00C56C6E">
        <w:rPr>
          <w:rFonts w:ascii="Arial" w:hAnsi="Arial" w:cs="Arial"/>
          <w:sz w:val="20"/>
          <w:szCs w:val="20"/>
        </w:rPr>
        <w:t xml:space="preserve"> </w:t>
      </w:r>
      <w:r w:rsidRPr="00C56C6E">
        <w:rPr>
          <w:rFonts w:ascii="Arial" w:hAnsi="Arial" w:cs="Arial"/>
          <w:spacing w:val="11"/>
          <w:sz w:val="20"/>
          <w:szCs w:val="20"/>
        </w:rPr>
        <w:t xml:space="preserve">Note: </w:t>
      </w:r>
      <w:r w:rsidRPr="00C56C6E">
        <w:rPr>
          <w:rFonts w:ascii="Arial" w:hAnsi="Arial" w:cs="Arial"/>
          <w:sz w:val="20"/>
          <w:szCs w:val="20"/>
        </w:rPr>
        <w:t xml:space="preserve">Currently, only </w:t>
      </w:r>
      <w:r w:rsidRPr="00C56C6E">
        <w:rPr>
          <w:rFonts w:ascii="Arial" w:hAnsi="Arial" w:cs="Arial"/>
          <w:i/>
          <w:iCs/>
          <w:sz w:val="20"/>
          <w:szCs w:val="20"/>
        </w:rPr>
        <w:t>Maptitude for Redistricting</w:t>
      </w:r>
      <w:r w:rsidRPr="00C56C6E">
        <w:rPr>
          <w:rFonts w:ascii="Arial" w:hAnsi="Arial" w:cs="Arial"/>
          <w:sz w:val="20"/>
          <w:szCs w:val="20"/>
        </w:rPr>
        <w:t xml:space="preserve"> has an explicit option for identifying instances of </w:t>
      </w:r>
      <w:r w:rsidRPr="00C56C6E">
        <w:rPr>
          <w:rFonts w:ascii="Arial" w:hAnsi="Arial" w:cs="Arial"/>
          <w:i/>
          <w:iCs/>
          <w:sz w:val="20"/>
          <w:szCs w:val="20"/>
        </w:rPr>
        <w:t>fracking</w:t>
      </w:r>
      <w:r w:rsidRPr="00C56C6E">
        <w:rPr>
          <w:rFonts w:ascii="Arial" w:hAnsi="Arial" w:cs="Arial"/>
          <w:sz w:val="20"/>
          <w:szCs w:val="20"/>
        </w:rPr>
        <w:t>. Tests for fracking, however, can be programmed in any software, and, as the present authors did in Virginia, examples  can be identified via visual inspection of plans</w:t>
      </w:r>
      <w:r w:rsidRPr="00C56C6E">
        <w:t>.</w:t>
      </w:r>
    </w:p>
    <w:p w14:paraId="485BF462" w14:textId="77777777" w:rsidR="00C56C6E" w:rsidRPr="00C56C6E" w:rsidRDefault="00C56C6E">
      <w:pPr>
        <w:pStyle w:val="EndnoteText"/>
        <w:rPr>
          <w:rFonts w:ascii="Arial" w:hAnsi="Arial" w:cs="Arial"/>
        </w:rPr>
      </w:pPr>
    </w:p>
  </w:endnote>
  <w:endnote w:id="10">
    <w:p w14:paraId="13A5BD4F" w14:textId="4FE1F460" w:rsidR="00C56C6E" w:rsidRPr="00C56C6E" w:rsidRDefault="00C56C6E" w:rsidP="005837C0">
      <w:pPr>
        <w:pStyle w:val="EndnoteText"/>
        <w:rPr>
          <w:rFonts w:ascii="Arial" w:hAnsi="Arial" w:cs="Arial"/>
          <w:b/>
          <w:bCs/>
        </w:rPr>
      </w:pPr>
      <w:r w:rsidRPr="00C56C6E">
        <w:rPr>
          <w:rStyle w:val="EndnoteReference"/>
          <w:rFonts w:ascii="Arial" w:hAnsi="Arial" w:cs="Arial"/>
        </w:rPr>
        <w:endnoteRef/>
      </w:r>
      <w:r w:rsidRPr="00C56C6E">
        <w:rPr>
          <w:rFonts w:ascii="Arial" w:hAnsi="Arial" w:cs="Arial"/>
        </w:rPr>
        <w:t xml:space="preserve"> The court ordered a Special Master to draw remedial maps (</w:t>
      </w:r>
      <w:r w:rsidRPr="00C56C6E">
        <w:rPr>
          <w:rFonts w:ascii="Arial" w:hAnsi="Arial" w:cs="Arial"/>
          <w:i/>
          <w:iCs/>
        </w:rPr>
        <w:t>Bethune-Hill v. Virginia State Bd. of Elections</w:t>
      </w:r>
      <w:r w:rsidRPr="00C56C6E">
        <w:rPr>
          <w:rFonts w:ascii="Arial" w:hAnsi="Arial" w:cs="Arial"/>
        </w:rPr>
        <w:t>, 580 U. S. ___ (2017). The court action was upheld by the U.S. Supreme Court (</w:t>
      </w:r>
      <w:r w:rsidRPr="00C56C6E">
        <w:rPr>
          <w:rFonts w:ascii="Arial" w:hAnsi="Arial" w:cs="Arial"/>
          <w:i/>
          <w:iCs/>
        </w:rPr>
        <w:t>Virginia House of Delegates v. Bethune-Hill</w:t>
      </w:r>
      <w:r w:rsidRPr="00C56C6E">
        <w:rPr>
          <w:rFonts w:ascii="Arial" w:hAnsi="Arial" w:cs="Arial"/>
        </w:rPr>
        <w:t>, 587 U.S. ___, 2019), with the ruling based on a procedural issue having to do with standing to bring the lawsuit</w:t>
      </w:r>
      <w:r w:rsidRPr="00C56C6E">
        <w:rPr>
          <w:rFonts w:ascii="Arial" w:hAnsi="Arial" w:cs="Arial"/>
          <w:b/>
          <w:bCs/>
        </w:rPr>
        <w:t xml:space="preserve"> .</w:t>
      </w:r>
    </w:p>
    <w:p w14:paraId="2A68F685" w14:textId="77777777" w:rsidR="00C56C6E" w:rsidRPr="00C56C6E" w:rsidRDefault="00C56C6E" w:rsidP="005837C0">
      <w:pPr>
        <w:pStyle w:val="EndnoteText"/>
        <w:rPr>
          <w:rFonts w:ascii="Arial" w:hAnsi="Arial" w:cs="Arial"/>
          <w:b/>
          <w:bCs/>
        </w:rPr>
      </w:pPr>
    </w:p>
  </w:endnote>
  <w:endnote w:id="11">
    <w:p w14:paraId="2A36056A" w14:textId="6F251EC0" w:rsidR="00C56C6E" w:rsidRPr="00C56C6E" w:rsidRDefault="00C56C6E">
      <w:pPr>
        <w:pStyle w:val="EndnoteText"/>
        <w:rPr>
          <w:rFonts w:ascii="Arial" w:hAnsi="Arial" w:cs="Arial"/>
        </w:rPr>
      </w:pPr>
      <w:r w:rsidRPr="00C56C6E">
        <w:rPr>
          <w:rStyle w:val="EndnoteReference"/>
          <w:rFonts w:ascii="Arial" w:hAnsi="Arial" w:cs="Arial"/>
        </w:rPr>
        <w:endnoteRef/>
      </w:r>
      <w:r w:rsidRPr="00C56C6E">
        <w:rPr>
          <w:rFonts w:ascii="Arial" w:hAnsi="Arial" w:cs="Arial"/>
        </w:rPr>
        <w:t xml:space="preserve"> U.S. Supreme Court standards for a </w:t>
      </w:r>
      <w:r w:rsidRPr="00C56C6E">
        <w:rPr>
          <w:rFonts w:ascii="Arial" w:hAnsi="Arial" w:cs="Arial"/>
          <w:i/>
          <w:iCs/>
        </w:rPr>
        <w:t>Shaw</w:t>
      </w:r>
      <w:r w:rsidRPr="00C56C6E">
        <w:rPr>
          <w:rFonts w:ascii="Arial" w:hAnsi="Arial" w:cs="Arial"/>
        </w:rPr>
        <w:t xml:space="preserve"> test were further elaborated in </w:t>
      </w:r>
      <w:r w:rsidRPr="00C56C6E">
        <w:rPr>
          <w:rFonts w:ascii="Arial" w:hAnsi="Arial" w:cs="Arial"/>
          <w:i/>
          <w:iCs/>
        </w:rPr>
        <w:t>Alabama Black Legislative Caucus v. Alabama,</w:t>
      </w:r>
      <w:r w:rsidRPr="00C56C6E">
        <w:rPr>
          <w:rFonts w:ascii="Arial" w:hAnsi="Arial" w:cs="Arial"/>
        </w:rPr>
        <w:t xml:space="preserve"> 135 S. Ct. 1257 (2015).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50C906" w14:paraId="150674F3" w14:textId="77777777" w:rsidTr="2750C906">
      <w:tc>
        <w:tcPr>
          <w:tcW w:w="3120" w:type="dxa"/>
        </w:tcPr>
        <w:p w14:paraId="75855870" w14:textId="5E0B302E" w:rsidR="2750C906" w:rsidRDefault="2750C906" w:rsidP="2750C906">
          <w:pPr>
            <w:pStyle w:val="Header"/>
            <w:ind w:left="-115"/>
          </w:pPr>
        </w:p>
      </w:tc>
      <w:tc>
        <w:tcPr>
          <w:tcW w:w="3120" w:type="dxa"/>
        </w:tcPr>
        <w:p w14:paraId="3D50C395" w14:textId="721916AD" w:rsidR="2750C906" w:rsidRDefault="2750C906" w:rsidP="2750C906">
          <w:pPr>
            <w:pStyle w:val="Header"/>
            <w:jc w:val="center"/>
          </w:pPr>
        </w:p>
      </w:tc>
      <w:tc>
        <w:tcPr>
          <w:tcW w:w="3120" w:type="dxa"/>
        </w:tcPr>
        <w:p w14:paraId="4740DCE7" w14:textId="4B21D875" w:rsidR="2750C906" w:rsidRDefault="2750C906" w:rsidP="2750C906">
          <w:pPr>
            <w:pStyle w:val="Header"/>
            <w:ind w:right="-115"/>
            <w:jc w:val="right"/>
          </w:pPr>
        </w:p>
      </w:tc>
    </w:tr>
  </w:tbl>
  <w:p w14:paraId="098B44B6" w14:textId="733582AF" w:rsidR="2750C906" w:rsidRDefault="2750C906" w:rsidP="2750C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00DF609D" w14:paraId="22FB0DD8" w14:textId="77777777" w:rsidTr="00F46A22">
      <w:tc>
        <w:tcPr>
          <w:tcW w:w="9360" w:type="dxa"/>
        </w:tcPr>
        <w:p w14:paraId="5BA1C36E" w14:textId="7F9D405C" w:rsidR="00DF609D" w:rsidRDefault="00DF609D" w:rsidP="00DF609D"/>
      </w:tc>
    </w:tr>
  </w:tbl>
  <w:p w14:paraId="198D8C77" w14:textId="016F6A42" w:rsidR="2750C906" w:rsidRDefault="2750C906" w:rsidP="2750C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9A5C" w14:textId="77777777" w:rsidR="00B1630F" w:rsidRDefault="00B1630F" w:rsidP="001E3533">
      <w:pPr>
        <w:spacing w:after="0" w:line="240" w:lineRule="auto"/>
      </w:pPr>
      <w:r>
        <w:separator/>
      </w:r>
    </w:p>
  </w:footnote>
  <w:footnote w:type="continuationSeparator" w:id="0">
    <w:p w14:paraId="256E8B2B" w14:textId="77777777" w:rsidR="00B1630F" w:rsidRDefault="00B1630F" w:rsidP="001E3533">
      <w:pPr>
        <w:spacing w:after="0" w:line="240" w:lineRule="auto"/>
      </w:pPr>
      <w:r>
        <w:continuationSeparator/>
      </w:r>
    </w:p>
  </w:footnote>
  <w:footnote w:type="continuationNotice" w:id="1">
    <w:p w14:paraId="01FAD612" w14:textId="77777777" w:rsidR="00B1630F" w:rsidRDefault="00B16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496146"/>
      <w:docPartObj>
        <w:docPartGallery w:val="Page Numbers (Top of Page)"/>
        <w:docPartUnique/>
      </w:docPartObj>
    </w:sdtPr>
    <w:sdtEndPr>
      <w:rPr>
        <w:rStyle w:val="PageNumber"/>
      </w:rPr>
    </w:sdtEndPr>
    <w:sdtContent>
      <w:p w14:paraId="382C65FF" w14:textId="4EE54691" w:rsidR="00613DD2" w:rsidRDefault="00613DD2" w:rsidP="006707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46C18" w14:textId="77777777" w:rsidR="00613DD2" w:rsidRDefault="00613DD2" w:rsidP="00613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008317"/>
      <w:docPartObj>
        <w:docPartGallery w:val="Page Numbers (Top of Page)"/>
        <w:docPartUnique/>
      </w:docPartObj>
    </w:sdtPr>
    <w:sdtEndPr>
      <w:rPr>
        <w:rStyle w:val="PageNumber"/>
      </w:rPr>
    </w:sdtEndPr>
    <w:sdtContent>
      <w:p w14:paraId="76AF60C6" w14:textId="3F44E04E" w:rsidR="00613DD2" w:rsidRDefault="00613DD2" w:rsidP="006707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2750C906" w14:paraId="398FF395" w14:textId="77777777" w:rsidTr="2E7CB299">
      <w:tc>
        <w:tcPr>
          <w:tcW w:w="3120" w:type="dxa"/>
        </w:tcPr>
        <w:p w14:paraId="2BADAD10" w14:textId="38271536" w:rsidR="2750C906" w:rsidRDefault="2750C906" w:rsidP="00613DD2">
          <w:pPr>
            <w:pStyle w:val="Header"/>
            <w:ind w:left="-115" w:right="360"/>
          </w:pPr>
        </w:p>
      </w:tc>
      <w:tc>
        <w:tcPr>
          <w:tcW w:w="3120" w:type="dxa"/>
        </w:tcPr>
        <w:p w14:paraId="1891C082" w14:textId="788C1314" w:rsidR="2750C906" w:rsidRDefault="2750C906" w:rsidP="2750C906">
          <w:pPr>
            <w:pStyle w:val="Header"/>
            <w:jc w:val="center"/>
          </w:pPr>
        </w:p>
      </w:tc>
      <w:tc>
        <w:tcPr>
          <w:tcW w:w="3120" w:type="dxa"/>
        </w:tcPr>
        <w:p w14:paraId="1BB9A1B8" w14:textId="7620A50A" w:rsidR="2750C906" w:rsidRDefault="2750C906" w:rsidP="2750C906">
          <w:pPr>
            <w:pStyle w:val="Header"/>
            <w:ind w:right="-115"/>
            <w:jc w:val="right"/>
          </w:pPr>
        </w:p>
      </w:tc>
    </w:tr>
  </w:tbl>
  <w:p w14:paraId="6AE2679B" w14:textId="43DC5A5A" w:rsidR="2750C906" w:rsidRDefault="2750C906" w:rsidP="2750C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A0F" w14:textId="523441FE" w:rsidR="00613DD2" w:rsidRDefault="00613DD2" w:rsidP="006707DA">
    <w:pPr>
      <w:pStyle w:val="Header"/>
      <w:framePr w:wrap="none" w:vAnchor="text" w:hAnchor="margin" w:xAlign="right" w:y="1"/>
      <w:rPr>
        <w:rStyle w:val="PageNumber"/>
      </w:rPr>
    </w:pPr>
  </w:p>
  <w:tbl>
    <w:tblPr>
      <w:tblW w:w="0" w:type="auto"/>
      <w:tblLayout w:type="fixed"/>
      <w:tblLook w:val="06A0" w:firstRow="1" w:lastRow="0" w:firstColumn="1" w:lastColumn="0" w:noHBand="1" w:noVBand="1"/>
    </w:tblPr>
    <w:tblGrid>
      <w:gridCol w:w="3120"/>
      <w:gridCol w:w="3120"/>
      <w:gridCol w:w="3120"/>
    </w:tblGrid>
    <w:tr w:rsidR="2750C906" w14:paraId="69CEDF47" w14:textId="77777777" w:rsidTr="2750C906">
      <w:tc>
        <w:tcPr>
          <w:tcW w:w="3120" w:type="dxa"/>
        </w:tcPr>
        <w:p w14:paraId="2A570E38" w14:textId="26EAA643" w:rsidR="2750C906" w:rsidRDefault="2750C906" w:rsidP="00613DD2">
          <w:pPr>
            <w:pStyle w:val="Header"/>
            <w:ind w:left="-115" w:right="360"/>
          </w:pPr>
        </w:p>
      </w:tc>
      <w:tc>
        <w:tcPr>
          <w:tcW w:w="3120" w:type="dxa"/>
        </w:tcPr>
        <w:p w14:paraId="461566CB" w14:textId="36510039" w:rsidR="2750C906" w:rsidRDefault="2750C906" w:rsidP="2750C906">
          <w:pPr>
            <w:pStyle w:val="Header"/>
            <w:jc w:val="center"/>
          </w:pPr>
        </w:p>
      </w:tc>
      <w:tc>
        <w:tcPr>
          <w:tcW w:w="3120" w:type="dxa"/>
        </w:tcPr>
        <w:p w14:paraId="031F777A" w14:textId="55A4F092" w:rsidR="2750C906" w:rsidRDefault="2750C906" w:rsidP="2750C906">
          <w:pPr>
            <w:pStyle w:val="Header"/>
            <w:ind w:right="-115"/>
            <w:jc w:val="right"/>
          </w:pPr>
        </w:p>
      </w:tc>
    </w:tr>
  </w:tbl>
  <w:p w14:paraId="113CF473" w14:textId="694515C5" w:rsidR="2750C906" w:rsidRDefault="2750C906" w:rsidP="2750C906">
    <w:pPr>
      <w:pStyle w:val="Header"/>
    </w:pPr>
  </w:p>
</w:hdr>
</file>

<file path=word/intelligence.xml><?xml version="1.0" encoding="utf-8"?>
<int:Intelligence xmlns:int="http://schemas.microsoft.com/office/intelligence/2019/intelligence">
  <int:IntelligenceSettings/>
  <int:Manifest>
    <int:WordHash hashCode="+8A3yOIkVPImud" id="75Mp1OqB"/>
    <int:WordHash hashCode="rXEadl2p84c1hS" id="1hGSUfOT"/>
    <int:WordHash hashCode="c1N/PCicO6yjX6" id="Civ720gX"/>
    <int:WordHash hashCode="0oK5nn2p7oa8Dh" id="8NOXwjBf"/>
    <int:WordHash hashCode="7GtY6HphZuZKZY" id="LUEjJshU"/>
    <int:WordHash hashCode="e7l2f84PK0nxjG" id="AOHsg42L"/>
    <int:WordHash hashCode="fGQzy2QowPSlHZ" id="mFveLcWo"/>
    <int:WordHash hashCode="PCZ+3FRmnswGEZ" id="rlcxlDsw"/>
    <int:WordHash hashCode="F6sOVOvlzwyX9p" id="3/N/GJtj"/>
    <int:WordHash hashCode="jR04n0RCiO5iha" id="vLpPyuiJ"/>
    <int:WordHash hashCode="biDSsgPPvG2yGX" id="KDbgw19W"/>
  </int:Manifest>
  <int:Observations>
    <int:Content id="75Mp1OqB">
      <int:Rejection type="LegacyProofing"/>
    </int:Content>
    <int:Content id="1hGSUfOT">
      <int:Rejection type="LegacyProofing"/>
    </int:Content>
    <int:Content id="Civ720gX">
      <int:Rejection type="LegacyProofing"/>
    </int:Content>
    <int:Content id="8NOXwjBf">
      <int:Rejection type="LegacyProofing"/>
    </int:Content>
    <int:Content id="LUEjJshU">
      <int:Rejection type="LegacyProofing"/>
    </int:Content>
    <int:Content id="AOHsg42L">
      <int:Rejection type="LegacyProofing"/>
    </int:Content>
    <int:Content id="mFveLcWo">
      <int:Rejection type="LegacyProofing"/>
    </int:Content>
    <int:Content id="rlcxlDsw">
      <int:Rejection type="AugLoop_Text_Critique"/>
    </int:Content>
    <int:Content id="3/N/GJtj">
      <int:Rejection type="AugLoop_Text_Critique"/>
    </int:Content>
    <int:Content id="vLpPyuiJ">
      <int:Rejection type="AugLoop_Text_Critique"/>
    </int:Content>
    <int:Content id="KDbgw19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CB9"/>
    <w:multiLevelType w:val="hybridMultilevel"/>
    <w:tmpl w:val="58960988"/>
    <w:lvl w:ilvl="0" w:tplc="B02C04A8">
      <w:start w:val="1"/>
      <w:numFmt w:val="lowerLetter"/>
      <w:pStyle w:val="Heading3"/>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E2520"/>
    <w:multiLevelType w:val="multilevel"/>
    <w:tmpl w:val="9A542E1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A14091"/>
    <w:multiLevelType w:val="hybridMultilevel"/>
    <w:tmpl w:val="9A542E1A"/>
    <w:lvl w:ilvl="0" w:tplc="22404B84">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95BD9"/>
    <w:multiLevelType w:val="hybridMultilevel"/>
    <w:tmpl w:val="B45A8490"/>
    <w:lvl w:ilvl="0" w:tplc="E990C83E">
      <w:start w:val="2"/>
      <w:numFmt w:val="decimal"/>
      <w:lvlText w:val="%1"/>
      <w:lvlJc w:val="left"/>
      <w:pPr>
        <w:ind w:left="199" w:hanging="299"/>
      </w:pPr>
      <w:rPr>
        <w:rFonts w:hint="default"/>
        <w:w w:val="100"/>
        <w:position w:val="7"/>
      </w:rPr>
    </w:lvl>
    <w:lvl w:ilvl="1" w:tplc="8DB030B0">
      <w:numFmt w:val="bullet"/>
      <w:lvlText w:val="•"/>
      <w:lvlJc w:val="left"/>
      <w:pPr>
        <w:ind w:left="1104" w:hanging="299"/>
      </w:pPr>
      <w:rPr>
        <w:rFonts w:hint="default"/>
      </w:rPr>
    </w:lvl>
    <w:lvl w:ilvl="2" w:tplc="4E36C250">
      <w:numFmt w:val="bullet"/>
      <w:lvlText w:val="•"/>
      <w:lvlJc w:val="left"/>
      <w:pPr>
        <w:ind w:left="2009" w:hanging="299"/>
      </w:pPr>
      <w:rPr>
        <w:rFonts w:hint="default"/>
      </w:rPr>
    </w:lvl>
    <w:lvl w:ilvl="3" w:tplc="F47E262C">
      <w:numFmt w:val="bullet"/>
      <w:lvlText w:val="•"/>
      <w:lvlJc w:val="left"/>
      <w:pPr>
        <w:ind w:left="2913" w:hanging="299"/>
      </w:pPr>
      <w:rPr>
        <w:rFonts w:hint="default"/>
      </w:rPr>
    </w:lvl>
    <w:lvl w:ilvl="4" w:tplc="B992A6E2">
      <w:numFmt w:val="bullet"/>
      <w:lvlText w:val="•"/>
      <w:lvlJc w:val="left"/>
      <w:pPr>
        <w:ind w:left="3818" w:hanging="299"/>
      </w:pPr>
      <w:rPr>
        <w:rFonts w:hint="default"/>
      </w:rPr>
    </w:lvl>
    <w:lvl w:ilvl="5" w:tplc="953C8716">
      <w:numFmt w:val="bullet"/>
      <w:lvlText w:val="•"/>
      <w:lvlJc w:val="left"/>
      <w:pPr>
        <w:ind w:left="4722" w:hanging="299"/>
      </w:pPr>
      <w:rPr>
        <w:rFonts w:hint="default"/>
      </w:rPr>
    </w:lvl>
    <w:lvl w:ilvl="6" w:tplc="DC4AA554">
      <w:numFmt w:val="bullet"/>
      <w:lvlText w:val="•"/>
      <w:lvlJc w:val="left"/>
      <w:pPr>
        <w:ind w:left="5627" w:hanging="299"/>
      </w:pPr>
      <w:rPr>
        <w:rFonts w:hint="default"/>
      </w:rPr>
    </w:lvl>
    <w:lvl w:ilvl="7" w:tplc="1E5C08BE">
      <w:numFmt w:val="bullet"/>
      <w:lvlText w:val="•"/>
      <w:lvlJc w:val="left"/>
      <w:pPr>
        <w:ind w:left="6531" w:hanging="299"/>
      </w:pPr>
      <w:rPr>
        <w:rFonts w:hint="default"/>
      </w:rPr>
    </w:lvl>
    <w:lvl w:ilvl="8" w:tplc="D612F608">
      <w:numFmt w:val="bullet"/>
      <w:lvlText w:val="•"/>
      <w:lvlJc w:val="left"/>
      <w:pPr>
        <w:ind w:left="7436" w:hanging="29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srA0tDSwMDQxN7ZU0lEKTi0uzszPAykwNKgFAJs4bSEtAAAA"/>
  </w:docVars>
  <w:rsids>
    <w:rsidRoot w:val="008930FC"/>
    <w:rsid w:val="00001E05"/>
    <w:rsid w:val="00027BC1"/>
    <w:rsid w:val="00051A0C"/>
    <w:rsid w:val="00072692"/>
    <w:rsid w:val="00084855"/>
    <w:rsid w:val="0009609A"/>
    <w:rsid w:val="000A4991"/>
    <w:rsid w:val="000A49DA"/>
    <w:rsid w:val="000D7F36"/>
    <w:rsid w:val="0011194D"/>
    <w:rsid w:val="00123AFD"/>
    <w:rsid w:val="0014462C"/>
    <w:rsid w:val="001937FD"/>
    <w:rsid w:val="001B51D4"/>
    <w:rsid w:val="001D01A2"/>
    <w:rsid w:val="001D7070"/>
    <w:rsid w:val="001E3533"/>
    <w:rsid w:val="00202CAC"/>
    <w:rsid w:val="00203C52"/>
    <w:rsid w:val="00214B9F"/>
    <w:rsid w:val="00224253"/>
    <w:rsid w:val="00225C4C"/>
    <w:rsid w:val="00227FFA"/>
    <w:rsid w:val="00243DC5"/>
    <w:rsid w:val="00250995"/>
    <w:rsid w:val="00252435"/>
    <w:rsid w:val="00267833"/>
    <w:rsid w:val="002933A6"/>
    <w:rsid w:val="002F64A3"/>
    <w:rsid w:val="003007D4"/>
    <w:rsid w:val="00332675"/>
    <w:rsid w:val="00353A64"/>
    <w:rsid w:val="00360033"/>
    <w:rsid w:val="003760A1"/>
    <w:rsid w:val="003B6795"/>
    <w:rsid w:val="00403CD2"/>
    <w:rsid w:val="0040741E"/>
    <w:rsid w:val="004077DD"/>
    <w:rsid w:val="00412548"/>
    <w:rsid w:val="00420807"/>
    <w:rsid w:val="00425C6E"/>
    <w:rsid w:val="004314F7"/>
    <w:rsid w:val="00433056"/>
    <w:rsid w:val="00435FDB"/>
    <w:rsid w:val="00443536"/>
    <w:rsid w:val="004560B1"/>
    <w:rsid w:val="00480C3F"/>
    <w:rsid w:val="004915FA"/>
    <w:rsid w:val="004D1B7E"/>
    <w:rsid w:val="004E38B0"/>
    <w:rsid w:val="004F69F6"/>
    <w:rsid w:val="005019F4"/>
    <w:rsid w:val="00511A2F"/>
    <w:rsid w:val="00523594"/>
    <w:rsid w:val="00556095"/>
    <w:rsid w:val="005571E8"/>
    <w:rsid w:val="00571D97"/>
    <w:rsid w:val="005837C0"/>
    <w:rsid w:val="005919A2"/>
    <w:rsid w:val="005B0CED"/>
    <w:rsid w:val="006009E1"/>
    <w:rsid w:val="00604ACA"/>
    <w:rsid w:val="00613DD2"/>
    <w:rsid w:val="006314BC"/>
    <w:rsid w:val="00655802"/>
    <w:rsid w:val="00673C3B"/>
    <w:rsid w:val="006811F1"/>
    <w:rsid w:val="0068243C"/>
    <w:rsid w:val="00690531"/>
    <w:rsid w:val="006A042D"/>
    <w:rsid w:val="006A7929"/>
    <w:rsid w:val="006D5E66"/>
    <w:rsid w:val="006D7057"/>
    <w:rsid w:val="006F17E2"/>
    <w:rsid w:val="006F3556"/>
    <w:rsid w:val="006F65AF"/>
    <w:rsid w:val="007243EA"/>
    <w:rsid w:val="00727FAB"/>
    <w:rsid w:val="00741296"/>
    <w:rsid w:val="00755CB8"/>
    <w:rsid w:val="00764B82"/>
    <w:rsid w:val="00777F15"/>
    <w:rsid w:val="007C1054"/>
    <w:rsid w:val="007C7680"/>
    <w:rsid w:val="007D17DB"/>
    <w:rsid w:val="007F09ED"/>
    <w:rsid w:val="007F141A"/>
    <w:rsid w:val="00804C15"/>
    <w:rsid w:val="0080699E"/>
    <w:rsid w:val="0081440B"/>
    <w:rsid w:val="00820D4C"/>
    <w:rsid w:val="00825BAA"/>
    <w:rsid w:val="008424F5"/>
    <w:rsid w:val="00847CE2"/>
    <w:rsid w:val="008544BD"/>
    <w:rsid w:val="008674A7"/>
    <w:rsid w:val="0087583D"/>
    <w:rsid w:val="0088031D"/>
    <w:rsid w:val="008930FC"/>
    <w:rsid w:val="00895C47"/>
    <w:rsid w:val="00896256"/>
    <w:rsid w:val="008A514F"/>
    <w:rsid w:val="008B148B"/>
    <w:rsid w:val="008D017B"/>
    <w:rsid w:val="008D0FDB"/>
    <w:rsid w:val="008D7692"/>
    <w:rsid w:val="0090533A"/>
    <w:rsid w:val="009076A2"/>
    <w:rsid w:val="0092772E"/>
    <w:rsid w:val="009452D2"/>
    <w:rsid w:val="00964648"/>
    <w:rsid w:val="0097403B"/>
    <w:rsid w:val="009A58ED"/>
    <w:rsid w:val="009C1787"/>
    <w:rsid w:val="009F2124"/>
    <w:rsid w:val="00A01046"/>
    <w:rsid w:val="00A12869"/>
    <w:rsid w:val="00A21634"/>
    <w:rsid w:val="00A3069B"/>
    <w:rsid w:val="00A45303"/>
    <w:rsid w:val="00A6608B"/>
    <w:rsid w:val="00A759E6"/>
    <w:rsid w:val="00A923AC"/>
    <w:rsid w:val="00AE04FC"/>
    <w:rsid w:val="00B0468D"/>
    <w:rsid w:val="00B15323"/>
    <w:rsid w:val="00B1630F"/>
    <w:rsid w:val="00B1642F"/>
    <w:rsid w:val="00B2B0F3"/>
    <w:rsid w:val="00B71A5C"/>
    <w:rsid w:val="00BA2828"/>
    <w:rsid w:val="00BB27F0"/>
    <w:rsid w:val="00BC0499"/>
    <w:rsid w:val="00BD72CB"/>
    <w:rsid w:val="00BF1A02"/>
    <w:rsid w:val="00C12EE1"/>
    <w:rsid w:val="00C20E8F"/>
    <w:rsid w:val="00C56C6E"/>
    <w:rsid w:val="00C81623"/>
    <w:rsid w:val="00C81D99"/>
    <w:rsid w:val="00C86446"/>
    <w:rsid w:val="00CA05B6"/>
    <w:rsid w:val="00CA5ACB"/>
    <w:rsid w:val="00CA668D"/>
    <w:rsid w:val="00CA796E"/>
    <w:rsid w:val="00CE60F6"/>
    <w:rsid w:val="00CF2C5C"/>
    <w:rsid w:val="00D04951"/>
    <w:rsid w:val="00D12005"/>
    <w:rsid w:val="00D1533C"/>
    <w:rsid w:val="00D30E06"/>
    <w:rsid w:val="00D4752E"/>
    <w:rsid w:val="00D622D4"/>
    <w:rsid w:val="00D66833"/>
    <w:rsid w:val="00D85678"/>
    <w:rsid w:val="00DA48A4"/>
    <w:rsid w:val="00DA6BCC"/>
    <w:rsid w:val="00DE0D85"/>
    <w:rsid w:val="00DF5190"/>
    <w:rsid w:val="00DF609D"/>
    <w:rsid w:val="00E031E1"/>
    <w:rsid w:val="00E06154"/>
    <w:rsid w:val="00E12965"/>
    <w:rsid w:val="00E16860"/>
    <w:rsid w:val="00E358BD"/>
    <w:rsid w:val="00E51A1A"/>
    <w:rsid w:val="00E6441E"/>
    <w:rsid w:val="00E745E8"/>
    <w:rsid w:val="00EC4AC8"/>
    <w:rsid w:val="00ED10A5"/>
    <w:rsid w:val="00EE0082"/>
    <w:rsid w:val="00EF42DD"/>
    <w:rsid w:val="00F3247A"/>
    <w:rsid w:val="00F600F8"/>
    <w:rsid w:val="00F63757"/>
    <w:rsid w:val="00F65C0F"/>
    <w:rsid w:val="00F672B9"/>
    <w:rsid w:val="00F77346"/>
    <w:rsid w:val="00F85C30"/>
    <w:rsid w:val="00F95FAA"/>
    <w:rsid w:val="00FA6CE0"/>
    <w:rsid w:val="00FC5100"/>
    <w:rsid w:val="00FC6DDA"/>
    <w:rsid w:val="00FE096E"/>
    <w:rsid w:val="00FF0EC4"/>
    <w:rsid w:val="00FF2D9D"/>
    <w:rsid w:val="0126260A"/>
    <w:rsid w:val="0139009A"/>
    <w:rsid w:val="0139A3F1"/>
    <w:rsid w:val="02E9B92F"/>
    <w:rsid w:val="033E0964"/>
    <w:rsid w:val="03A0A838"/>
    <w:rsid w:val="0422FF78"/>
    <w:rsid w:val="043E1077"/>
    <w:rsid w:val="0468233E"/>
    <w:rsid w:val="0486C836"/>
    <w:rsid w:val="04A9ED66"/>
    <w:rsid w:val="05804098"/>
    <w:rsid w:val="058EAB29"/>
    <w:rsid w:val="0625323B"/>
    <w:rsid w:val="066257CF"/>
    <w:rsid w:val="06BF209D"/>
    <w:rsid w:val="0719E5EA"/>
    <w:rsid w:val="071E58DB"/>
    <w:rsid w:val="0722286D"/>
    <w:rsid w:val="0730579E"/>
    <w:rsid w:val="078B2316"/>
    <w:rsid w:val="07CD23E6"/>
    <w:rsid w:val="08599EC7"/>
    <w:rsid w:val="085AF0FE"/>
    <w:rsid w:val="0AC75DDA"/>
    <w:rsid w:val="0CE38ED3"/>
    <w:rsid w:val="0CF8C74A"/>
    <w:rsid w:val="0D2E6221"/>
    <w:rsid w:val="0D6F888A"/>
    <w:rsid w:val="0D8CD0E9"/>
    <w:rsid w:val="0E9B09F1"/>
    <w:rsid w:val="0EB54171"/>
    <w:rsid w:val="0EE28287"/>
    <w:rsid w:val="0F1EA70B"/>
    <w:rsid w:val="0FC36311"/>
    <w:rsid w:val="1027FD5B"/>
    <w:rsid w:val="11F885F3"/>
    <w:rsid w:val="139DA3A5"/>
    <w:rsid w:val="13AFB35D"/>
    <w:rsid w:val="153026B5"/>
    <w:rsid w:val="16CBF716"/>
    <w:rsid w:val="17214541"/>
    <w:rsid w:val="1817245C"/>
    <w:rsid w:val="1866AD9C"/>
    <w:rsid w:val="18CCB5FF"/>
    <w:rsid w:val="19210FBC"/>
    <w:rsid w:val="1C721549"/>
    <w:rsid w:val="214D73F2"/>
    <w:rsid w:val="21DB48E6"/>
    <w:rsid w:val="21E62807"/>
    <w:rsid w:val="22A286FC"/>
    <w:rsid w:val="23C2FCDC"/>
    <w:rsid w:val="25890237"/>
    <w:rsid w:val="2620E515"/>
    <w:rsid w:val="27443540"/>
    <w:rsid w:val="2750C906"/>
    <w:rsid w:val="27CFB5D4"/>
    <w:rsid w:val="284CBE6B"/>
    <w:rsid w:val="289BFEA5"/>
    <w:rsid w:val="295885D7"/>
    <w:rsid w:val="29A03093"/>
    <w:rsid w:val="2A6D118F"/>
    <w:rsid w:val="2BC82D4A"/>
    <w:rsid w:val="2BD8BDC7"/>
    <w:rsid w:val="2DB38A7D"/>
    <w:rsid w:val="2E7CB299"/>
    <w:rsid w:val="2F3C599A"/>
    <w:rsid w:val="33047C52"/>
    <w:rsid w:val="3547CF57"/>
    <w:rsid w:val="35DE3F6D"/>
    <w:rsid w:val="36EC1808"/>
    <w:rsid w:val="36F4CEDC"/>
    <w:rsid w:val="3718E031"/>
    <w:rsid w:val="37712387"/>
    <w:rsid w:val="384E1BFD"/>
    <w:rsid w:val="38A2D303"/>
    <w:rsid w:val="392FD9D0"/>
    <w:rsid w:val="395DA566"/>
    <w:rsid w:val="3A127FEF"/>
    <w:rsid w:val="3AA55C1C"/>
    <w:rsid w:val="3B4F586E"/>
    <w:rsid w:val="3C9F4470"/>
    <w:rsid w:val="3DBF69F8"/>
    <w:rsid w:val="3F5FBF34"/>
    <w:rsid w:val="40D9162F"/>
    <w:rsid w:val="44181602"/>
    <w:rsid w:val="44AD1511"/>
    <w:rsid w:val="45573EA7"/>
    <w:rsid w:val="458BF6DE"/>
    <w:rsid w:val="45BFE413"/>
    <w:rsid w:val="468F8CE1"/>
    <w:rsid w:val="46B44873"/>
    <w:rsid w:val="479FB1E7"/>
    <w:rsid w:val="49752EBC"/>
    <w:rsid w:val="4AD965FF"/>
    <w:rsid w:val="4AE6F7FF"/>
    <w:rsid w:val="4E045BEE"/>
    <w:rsid w:val="4E2B97F4"/>
    <w:rsid w:val="4E3ACEFA"/>
    <w:rsid w:val="4ECAB125"/>
    <w:rsid w:val="513ACAA9"/>
    <w:rsid w:val="5269BEDD"/>
    <w:rsid w:val="52A6ECD2"/>
    <w:rsid w:val="52CB4F87"/>
    <w:rsid w:val="544AAC84"/>
    <w:rsid w:val="54C6A80A"/>
    <w:rsid w:val="56582CDA"/>
    <w:rsid w:val="5BA96C2E"/>
    <w:rsid w:val="5D1D54B2"/>
    <w:rsid w:val="5E51CA2D"/>
    <w:rsid w:val="5EA8745C"/>
    <w:rsid w:val="5EE9CBB4"/>
    <w:rsid w:val="5F8CE407"/>
    <w:rsid w:val="627B5A5A"/>
    <w:rsid w:val="632559A2"/>
    <w:rsid w:val="64B538E6"/>
    <w:rsid w:val="657621AB"/>
    <w:rsid w:val="6670CB73"/>
    <w:rsid w:val="669AB043"/>
    <w:rsid w:val="66FC6CB4"/>
    <w:rsid w:val="6781840C"/>
    <w:rsid w:val="6AF660FC"/>
    <w:rsid w:val="6B6037AC"/>
    <w:rsid w:val="6B796DF3"/>
    <w:rsid w:val="6C079B7B"/>
    <w:rsid w:val="6C83984A"/>
    <w:rsid w:val="6CAAC8BD"/>
    <w:rsid w:val="6EFADCF4"/>
    <w:rsid w:val="6FC9289E"/>
    <w:rsid w:val="70C085E3"/>
    <w:rsid w:val="7174E519"/>
    <w:rsid w:val="71E9C676"/>
    <w:rsid w:val="72065ADB"/>
    <w:rsid w:val="7288AA96"/>
    <w:rsid w:val="7296C17A"/>
    <w:rsid w:val="72BE16FF"/>
    <w:rsid w:val="73011DB8"/>
    <w:rsid w:val="734E5E0D"/>
    <w:rsid w:val="741D0C64"/>
    <w:rsid w:val="7459E760"/>
    <w:rsid w:val="7627F080"/>
    <w:rsid w:val="7858BCD2"/>
    <w:rsid w:val="785BCA81"/>
    <w:rsid w:val="78AE42BF"/>
    <w:rsid w:val="79C3203C"/>
    <w:rsid w:val="79CF62BD"/>
    <w:rsid w:val="7CFD87FB"/>
    <w:rsid w:val="7DF8DBF3"/>
    <w:rsid w:val="7F00E472"/>
    <w:rsid w:val="7F177055"/>
    <w:rsid w:val="7FF6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476B"/>
  <w15:chartTrackingRefBased/>
  <w15:docId w15:val="{FA803DCC-76D9-5248-854E-49AFA13C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57"/>
  </w:style>
  <w:style w:type="paragraph" w:styleId="Heading1">
    <w:name w:val="heading 1"/>
    <w:basedOn w:val="Normal"/>
    <w:link w:val="Heading1Char"/>
    <w:uiPriority w:val="9"/>
    <w:qFormat/>
    <w:rsid w:val="00E6441E"/>
    <w:pPr>
      <w:widowControl w:val="0"/>
      <w:numPr>
        <w:numId w:val="2"/>
      </w:numPr>
      <w:autoSpaceDE w:val="0"/>
      <w:autoSpaceDN w:val="0"/>
      <w:spacing w:before="102" w:after="120" w:line="240" w:lineRule="auto"/>
      <w:ind w:left="187" w:hanging="187"/>
      <w:outlineLvl w:val="0"/>
    </w:pPr>
    <w:rPr>
      <w:rFonts w:eastAsia="Book Antiqua" w:cstheme="minorHAnsi"/>
      <w:b/>
      <w:bCs/>
      <w:sz w:val="28"/>
    </w:rPr>
  </w:style>
  <w:style w:type="paragraph" w:styleId="Heading2">
    <w:name w:val="heading 2"/>
    <w:next w:val="Normal"/>
    <w:link w:val="Heading2Char"/>
    <w:uiPriority w:val="9"/>
    <w:unhideWhenUsed/>
    <w:qFormat/>
    <w:rsid w:val="00E6441E"/>
    <w:pPr>
      <w:spacing w:after="120"/>
      <w:outlineLvl w:val="1"/>
    </w:pPr>
    <w:rPr>
      <w:rFonts w:eastAsia="Book Antiqua" w:cstheme="minorHAnsi"/>
      <w:b/>
      <w:bCs/>
      <w:sz w:val="24"/>
    </w:rPr>
  </w:style>
  <w:style w:type="paragraph" w:styleId="Heading3">
    <w:name w:val="heading 3"/>
    <w:basedOn w:val="Normal"/>
    <w:next w:val="Normal"/>
    <w:link w:val="Heading3Char"/>
    <w:uiPriority w:val="9"/>
    <w:unhideWhenUsed/>
    <w:qFormat/>
    <w:rsid w:val="00214B9F"/>
    <w:pPr>
      <w:numPr>
        <w:numId w:val="4"/>
      </w:num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30FC"/>
    <w:pPr>
      <w:widowControl w:val="0"/>
      <w:autoSpaceDE w:val="0"/>
      <w:autoSpaceDN w:val="0"/>
      <w:spacing w:before="7" w:after="0" w:line="240" w:lineRule="exact"/>
      <w:ind w:left="219" w:right="119" w:hanging="99"/>
      <w:jc w:val="both"/>
    </w:pPr>
    <w:rPr>
      <w:rFonts w:ascii="Book Antiqua" w:eastAsia="Book Antiqua" w:hAnsi="Book Antiqua" w:cs="Book Antiqua"/>
    </w:rPr>
  </w:style>
  <w:style w:type="paragraph" w:styleId="FootnoteText">
    <w:name w:val="footnote text"/>
    <w:basedOn w:val="Normal"/>
    <w:link w:val="FootnoteTextChar"/>
    <w:uiPriority w:val="99"/>
    <w:unhideWhenUsed/>
    <w:rsid w:val="007F09ED"/>
    <w:pPr>
      <w:spacing w:after="240" w:line="240" w:lineRule="auto"/>
    </w:pPr>
    <w:rPr>
      <w:sz w:val="20"/>
      <w:szCs w:val="20"/>
    </w:rPr>
  </w:style>
  <w:style w:type="character" w:customStyle="1" w:styleId="FootnoteTextChar">
    <w:name w:val="Footnote Text Char"/>
    <w:basedOn w:val="DefaultParagraphFont"/>
    <w:link w:val="FootnoteText"/>
    <w:uiPriority w:val="99"/>
    <w:rsid w:val="007F09ED"/>
    <w:rPr>
      <w:sz w:val="20"/>
      <w:szCs w:val="20"/>
    </w:rPr>
  </w:style>
  <w:style w:type="character" w:customStyle="1" w:styleId="Heading1Char">
    <w:name w:val="Heading 1 Char"/>
    <w:basedOn w:val="DefaultParagraphFont"/>
    <w:link w:val="Heading1"/>
    <w:uiPriority w:val="9"/>
    <w:rsid w:val="00E6441E"/>
    <w:rPr>
      <w:rFonts w:eastAsia="Book Antiqua" w:cstheme="minorHAnsi"/>
      <w:b/>
      <w:bCs/>
      <w:sz w:val="28"/>
    </w:rPr>
  </w:style>
  <w:style w:type="character" w:styleId="FootnoteReference">
    <w:name w:val="footnote reference"/>
    <w:basedOn w:val="DefaultParagraphFont"/>
    <w:uiPriority w:val="99"/>
    <w:semiHidden/>
    <w:unhideWhenUsed/>
    <w:rsid w:val="001E3533"/>
    <w:rPr>
      <w:vertAlign w:val="superscript"/>
    </w:rPr>
  </w:style>
  <w:style w:type="character" w:styleId="CommentReference">
    <w:name w:val="annotation reference"/>
    <w:basedOn w:val="DefaultParagraphFont"/>
    <w:uiPriority w:val="99"/>
    <w:semiHidden/>
    <w:unhideWhenUsed/>
    <w:rsid w:val="008D7692"/>
    <w:rPr>
      <w:sz w:val="16"/>
      <w:szCs w:val="16"/>
    </w:rPr>
  </w:style>
  <w:style w:type="paragraph" w:styleId="CommentText">
    <w:name w:val="annotation text"/>
    <w:basedOn w:val="Normal"/>
    <w:link w:val="CommentTextChar"/>
    <w:uiPriority w:val="99"/>
    <w:unhideWhenUsed/>
    <w:rsid w:val="008D7692"/>
    <w:pPr>
      <w:spacing w:line="240" w:lineRule="auto"/>
    </w:pPr>
    <w:rPr>
      <w:sz w:val="20"/>
      <w:szCs w:val="20"/>
    </w:rPr>
  </w:style>
  <w:style w:type="character" w:customStyle="1" w:styleId="CommentTextChar">
    <w:name w:val="Comment Text Char"/>
    <w:basedOn w:val="DefaultParagraphFont"/>
    <w:link w:val="CommentText"/>
    <w:uiPriority w:val="99"/>
    <w:rsid w:val="008D7692"/>
    <w:rPr>
      <w:sz w:val="20"/>
      <w:szCs w:val="20"/>
    </w:rPr>
  </w:style>
  <w:style w:type="paragraph" w:styleId="CommentSubject">
    <w:name w:val="annotation subject"/>
    <w:basedOn w:val="CommentText"/>
    <w:next w:val="CommentText"/>
    <w:link w:val="CommentSubjectChar"/>
    <w:uiPriority w:val="99"/>
    <w:semiHidden/>
    <w:unhideWhenUsed/>
    <w:rsid w:val="008D7692"/>
    <w:rPr>
      <w:b/>
      <w:bCs/>
    </w:rPr>
  </w:style>
  <w:style w:type="character" w:customStyle="1" w:styleId="CommentSubjectChar">
    <w:name w:val="Comment Subject Char"/>
    <w:basedOn w:val="CommentTextChar"/>
    <w:link w:val="CommentSubject"/>
    <w:uiPriority w:val="99"/>
    <w:semiHidden/>
    <w:rsid w:val="008D7692"/>
    <w:rPr>
      <w:b/>
      <w:bCs/>
      <w:sz w:val="20"/>
      <w:szCs w:val="20"/>
    </w:rPr>
  </w:style>
  <w:style w:type="paragraph" w:styleId="Revision">
    <w:name w:val="Revision"/>
    <w:hidden/>
    <w:uiPriority w:val="99"/>
    <w:semiHidden/>
    <w:rsid w:val="008D7692"/>
    <w:pPr>
      <w:spacing w:after="0" w:line="240" w:lineRule="auto"/>
    </w:pPr>
  </w:style>
  <w:style w:type="character" w:styleId="Hyperlink">
    <w:name w:val="Hyperlink"/>
    <w:basedOn w:val="DefaultParagraphFont"/>
    <w:uiPriority w:val="99"/>
    <w:unhideWhenUsed/>
    <w:rsid w:val="00673C3B"/>
    <w:rPr>
      <w:color w:val="0563C1" w:themeColor="hyperlink"/>
      <w:u w:val="single"/>
    </w:rPr>
  </w:style>
  <w:style w:type="character" w:styleId="UnresolvedMention">
    <w:name w:val="Unresolved Mention"/>
    <w:basedOn w:val="DefaultParagraphFont"/>
    <w:uiPriority w:val="99"/>
    <w:semiHidden/>
    <w:unhideWhenUsed/>
    <w:rsid w:val="00673C3B"/>
    <w:rPr>
      <w:color w:val="605E5C"/>
      <w:shd w:val="clear" w:color="auto" w:fill="E1DFDD"/>
    </w:rPr>
  </w:style>
  <w:style w:type="paragraph" w:styleId="NormalWeb">
    <w:name w:val="Normal (Web)"/>
    <w:basedOn w:val="Normal"/>
    <w:uiPriority w:val="99"/>
    <w:unhideWhenUsed/>
    <w:rsid w:val="008758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795"/>
  </w:style>
  <w:style w:type="paragraph" w:styleId="Footer">
    <w:name w:val="footer"/>
    <w:basedOn w:val="Normal"/>
    <w:link w:val="FooterChar"/>
    <w:uiPriority w:val="99"/>
    <w:unhideWhenUsed/>
    <w:rsid w:val="003B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795"/>
  </w:style>
  <w:style w:type="character" w:styleId="Strong">
    <w:name w:val="Strong"/>
    <w:basedOn w:val="DefaultParagraphFont"/>
    <w:uiPriority w:val="22"/>
    <w:qFormat/>
    <w:rsid w:val="006F65AF"/>
    <w:rPr>
      <w:b/>
      <w:bCs/>
    </w:rPr>
  </w:style>
  <w:style w:type="character" w:customStyle="1" w:styleId="Heading2Char">
    <w:name w:val="Heading 2 Char"/>
    <w:basedOn w:val="DefaultParagraphFont"/>
    <w:link w:val="Heading2"/>
    <w:uiPriority w:val="9"/>
    <w:rsid w:val="00E6441E"/>
    <w:rPr>
      <w:rFonts w:eastAsia="Book Antiqua" w:cstheme="minorHAnsi"/>
      <w:b/>
      <w:bCs/>
      <w:sz w:val="24"/>
    </w:rPr>
  </w:style>
  <w:style w:type="character" w:styleId="PageNumber">
    <w:name w:val="page number"/>
    <w:basedOn w:val="DefaultParagraphFont"/>
    <w:uiPriority w:val="99"/>
    <w:semiHidden/>
    <w:unhideWhenUsed/>
    <w:rsid w:val="00613DD2"/>
  </w:style>
  <w:style w:type="character" w:customStyle="1" w:styleId="Heading3Char">
    <w:name w:val="Heading 3 Char"/>
    <w:basedOn w:val="DefaultParagraphFont"/>
    <w:link w:val="Heading3"/>
    <w:uiPriority w:val="9"/>
    <w:rsid w:val="00214B9F"/>
    <w:rPr>
      <w:b/>
      <w:bCs/>
    </w:rPr>
  </w:style>
  <w:style w:type="paragraph" w:styleId="EndnoteText">
    <w:name w:val="endnote text"/>
    <w:basedOn w:val="Normal"/>
    <w:link w:val="EndnoteTextChar"/>
    <w:uiPriority w:val="99"/>
    <w:semiHidden/>
    <w:unhideWhenUsed/>
    <w:rsid w:val="00C56C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6C6E"/>
    <w:rPr>
      <w:sz w:val="20"/>
      <w:szCs w:val="20"/>
    </w:rPr>
  </w:style>
  <w:style w:type="character" w:styleId="EndnoteReference">
    <w:name w:val="endnote reference"/>
    <w:basedOn w:val="DefaultParagraphFont"/>
    <w:uiPriority w:val="99"/>
    <w:semiHidden/>
    <w:unhideWhenUsed/>
    <w:rsid w:val="00C56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993">
      <w:bodyDiv w:val="1"/>
      <w:marLeft w:val="0"/>
      <w:marRight w:val="0"/>
      <w:marTop w:val="0"/>
      <w:marBottom w:val="0"/>
      <w:divBdr>
        <w:top w:val="none" w:sz="0" w:space="0" w:color="auto"/>
        <w:left w:val="none" w:sz="0" w:space="0" w:color="auto"/>
        <w:bottom w:val="none" w:sz="0" w:space="0" w:color="auto"/>
        <w:right w:val="none" w:sz="0" w:space="0" w:color="auto"/>
      </w:divBdr>
    </w:div>
    <w:div w:id="281959348">
      <w:bodyDiv w:val="1"/>
      <w:marLeft w:val="0"/>
      <w:marRight w:val="0"/>
      <w:marTop w:val="0"/>
      <w:marBottom w:val="0"/>
      <w:divBdr>
        <w:top w:val="none" w:sz="0" w:space="0" w:color="auto"/>
        <w:left w:val="none" w:sz="0" w:space="0" w:color="auto"/>
        <w:bottom w:val="none" w:sz="0" w:space="0" w:color="auto"/>
        <w:right w:val="none" w:sz="0" w:space="0" w:color="auto"/>
      </w:divBdr>
    </w:div>
    <w:div w:id="456222264">
      <w:bodyDiv w:val="1"/>
      <w:marLeft w:val="0"/>
      <w:marRight w:val="0"/>
      <w:marTop w:val="0"/>
      <w:marBottom w:val="0"/>
      <w:divBdr>
        <w:top w:val="none" w:sz="0" w:space="0" w:color="auto"/>
        <w:left w:val="none" w:sz="0" w:space="0" w:color="auto"/>
        <w:bottom w:val="none" w:sz="0" w:space="0" w:color="auto"/>
        <w:right w:val="none" w:sz="0" w:space="0" w:color="auto"/>
      </w:divBdr>
    </w:div>
    <w:div w:id="552809386">
      <w:bodyDiv w:val="1"/>
      <w:marLeft w:val="0"/>
      <w:marRight w:val="0"/>
      <w:marTop w:val="0"/>
      <w:marBottom w:val="0"/>
      <w:divBdr>
        <w:top w:val="none" w:sz="0" w:space="0" w:color="auto"/>
        <w:left w:val="none" w:sz="0" w:space="0" w:color="auto"/>
        <w:bottom w:val="none" w:sz="0" w:space="0" w:color="auto"/>
        <w:right w:val="none" w:sz="0" w:space="0" w:color="auto"/>
      </w:divBdr>
    </w:div>
    <w:div w:id="647710262">
      <w:bodyDiv w:val="1"/>
      <w:marLeft w:val="0"/>
      <w:marRight w:val="0"/>
      <w:marTop w:val="0"/>
      <w:marBottom w:val="0"/>
      <w:divBdr>
        <w:top w:val="none" w:sz="0" w:space="0" w:color="auto"/>
        <w:left w:val="none" w:sz="0" w:space="0" w:color="auto"/>
        <w:bottom w:val="none" w:sz="0" w:space="0" w:color="auto"/>
        <w:right w:val="none" w:sz="0" w:space="0" w:color="auto"/>
      </w:divBdr>
    </w:div>
    <w:div w:id="714083065">
      <w:bodyDiv w:val="1"/>
      <w:marLeft w:val="0"/>
      <w:marRight w:val="0"/>
      <w:marTop w:val="0"/>
      <w:marBottom w:val="0"/>
      <w:divBdr>
        <w:top w:val="none" w:sz="0" w:space="0" w:color="auto"/>
        <w:left w:val="none" w:sz="0" w:space="0" w:color="auto"/>
        <w:bottom w:val="none" w:sz="0" w:space="0" w:color="auto"/>
        <w:right w:val="none" w:sz="0" w:space="0" w:color="auto"/>
      </w:divBdr>
    </w:div>
    <w:div w:id="831483458">
      <w:bodyDiv w:val="1"/>
      <w:marLeft w:val="0"/>
      <w:marRight w:val="0"/>
      <w:marTop w:val="0"/>
      <w:marBottom w:val="0"/>
      <w:divBdr>
        <w:top w:val="none" w:sz="0" w:space="0" w:color="auto"/>
        <w:left w:val="none" w:sz="0" w:space="0" w:color="auto"/>
        <w:bottom w:val="none" w:sz="0" w:space="0" w:color="auto"/>
        <w:right w:val="none" w:sz="0" w:space="0" w:color="auto"/>
      </w:divBdr>
    </w:div>
    <w:div w:id="892039328">
      <w:bodyDiv w:val="1"/>
      <w:marLeft w:val="0"/>
      <w:marRight w:val="0"/>
      <w:marTop w:val="0"/>
      <w:marBottom w:val="0"/>
      <w:divBdr>
        <w:top w:val="none" w:sz="0" w:space="0" w:color="auto"/>
        <w:left w:val="none" w:sz="0" w:space="0" w:color="auto"/>
        <w:bottom w:val="none" w:sz="0" w:space="0" w:color="auto"/>
        <w:right w:val="none" w:sz="0" w:space="0" w:color="auto"/>
      </w:divBdr>
      <w:divsChild>
        <w:div w:id="211820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2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6121ad1f95d147a7" Type="http://schemas.microsoft.com/office/2019/09/relationships/intelligence" Target="intelligenc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local/virginia-politics/voters-assigned-to-wrong-districts-may-have-cost-democrats-in-pivotal-virginia-race/2018/05/13/09a9dd8a-5465-11e8-a551-5b648abe29ef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A5A0-E5CD-4EB2-974A-7896F150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Grofman</dc:creator>
  <cp:keywords/>
  <dc:description/>
  <cp:lastModifiedBy>Rick Hasen</cp:lastModifiedBy>
  <cp:revision>2</cp:revision>
  <dcterms:created xsi:type="dcterms:W3CDTF">2021-08-31T23:20:00Z</dcterms:created>
  <dcterms:modified xsi:type="dcterms:W3CDTF">2021-08-31T23:20:00Z</dcterms:modified>
</cp:coreProperties>
</file>