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AB685" w14:textId="77777777" w:rsidR="001B43B0" w:rsidRDefault="001B43B0" w:rsidP="00EF0DDE">
      <w:pPr>
        <w:jc w:val="right"/>
      </w:pPr>
      <w:r>
        <w:t>Professor Rick Hasen</w:t>
      </w:r>
    </w:p>
    <w:p w14:paraId="0CA8CE42" w14:textId="77777777" w:rsidR="00EF0DDE" w:rsidRDefault="004E1984" w:rsidP="00EF0DDE">
      <w:pPr>
        <w:ind w:right="98"/>
        <w:jc w:val="right"/>
        <w:rPr>
          <w:szCs w:val="24"/>
        </w:rPr>
      </w:pPr>
      <w:r>
        <w:rPr>
          <w:spacing w:val="-1"/>
          <w:szCs w:val="24"/>
        </w:rPr>
        <w:t>(</w:t>
      </w:r>
      <w:r>
        <w:rPr>
          <w:szCs w:val="24"/>
        </w:rPr>
        <w:t>949)</w:t>
      </w:r>
      <w:r>
        <w:rPr>
          <w:spacing w:val="-1"/>
          <w:szCs w:val="24"/>
        </w:rPr>
        <w:t>8</w:t>
      </w:r>
      <w:r>
        <w:rPr>
          <w:szCs w:val="24"/>
        </w:rPr>
        <w:t>24</w:t>
      </w:r>
      <w:r>
        <w:rPr>
          <w:spacing w:val="-1"/>
          <w:szCs w:val="24"/>
        </w:rPr>
        <w:t>-</w:t>
      </w:r>
      <w:r>
        <w:rPr>
          <w:szCs w:val="24"/>
        </w:rPr>
        <w:t>307</w:t>
      </w:r>
      <w:r w:rsidR="00EF0DDE">
        <w:rPr>
          <w:szCs w:val="24"/>
        </w:rPr>
        <w:t>2</w:t>
      </w:r>
    </w:p>
    <w:p w14:paraId="42FD6775" w14:textId="77777777" w:rsidR="00EF0DDE" w:rsidRDefault="00EF0DDE" w:rsidP="00EF0DDE">
      <w:pPr>
        <w:ind w:right="98"/>
        <w:jc w:val="right"/>
        <w:rPr>
          <w:szCs w:val="24"/>
        </w:rPr>
      </w:pPr>
      <w:r>
        <w:rPr>
          <w:szCs w:val="24"/>
        </w:rPr>
        <w:t>rhasen@law.uci.edu</w:t>
      </w:r>
    </w:p>
    <w:p w14:paraId="0E76D729" w14:textId="77777777" w:rsidR="004E1984" w:rsidRDefault="004E1984" w:rsidP="00EF0DDE">
      <w:pPr>
        <w:ind w:right="98"/>
        <w:jc w:val="right"/>
        <w:rPr>
          <w:szCs w:val="24"/>
        </w:rPr>
      </w:pPr>
      <w:r>
        <w:rPr>
          <w:szCs w:val="24"/>
        </w:rPr>
        <w:t>O</w:t>
      </w:r>
      <w:r>
        <w:rPr>
          <w:spacing w:val="-1"/>
          <w:szCs w:val="24"/>
        </w:rPr>
        <w:t>f</w:t>
      </w:r>
      <w:r>
        <w:rPr>
          <w:szCs w:val="24"/>
        </w:rPr>
        <w:t>fi</w:t>
      </w:r>
      <w:r>
        <w:rPr>
          <w:spacing w:val="-1"/>
          <w:szCs w:val="24"/>
        </w:rPr>
        <w:t>ce</w:t>
      </w:r>
      <w:r>
        <w:rPr>
          <w:szCs w:val="24"/>
        </w:rPr>
        <w:t>: 3800D</w:t>
      </w:r>
    </w:p>
    <w:p w14:paraId="002909B4" w14:textId="77777777" w:rsidR="004E1984" w:rsidRDefault="004E1984" w:rsidP="00EF0DDE">
      <w:pPr>
        <w:ind w:right="98"/>
        <w:jc w:val="right"/>
        <w:rPr>
          <w:szCs w:val="24"/>
        </w:rPr>
      </w:pPr>
      <w:r>
        <w:rPr>
          <w:szCs w:val="24"/>
        </w:rPr>
        <w:t>O</w:t>
      </w:r>
      <w:r>
        <w:rPr>
          <w:spacing w:val="-1"/>
          <w:szCs w:val="24"/>
        </w:rPr>
        <w:t>f</w:t>
      </w:r>
      <w:r>
        <w:rPr>
          <w:szCs w:val="24"/>
        </w:rPr>
        <w:t>fi</w:t>
      </w:r>
      <w:r>
        <w:rPr>
          <w:spacing w:val="-1"/>
          <w:szCs w:val="24"/>
        </w:rPr>
        <w:t>c</w:t>
      </w:r>
      <w:r>
        <w:rPr>
          <w:szCs w:val="24"/>
        </w:rPr>
        <w:t>e</w:t>
      </w:r>
      <w:r>
        <w:rPr>
          <w:spacing w:val="-1"/>
          <w:szCs w:val="24"/>
        </w:rPr>
        <w:t xml:space="preserve"> </w:t>
      </w:r>
      <w:r>
        <w:rPr>
          <w:szCs w:val="24"/>
        </w:rPr>
        <w:t>Hou</w:t>
      </w:r>
      <w:r>
        <w:rPr>
          <w:spacing w:val="-1"/>
          <w:szCs w:val="24"/>
        </w:rPr>
        <w:t>r</w:t>
      </w:r>
      <w:r>
        <w:rPr>
          <w:szCs w:val="24"/>
        </w:rPr>
        <w:t>s:</w:t>
      </w:r>
      <w:r>
        <w:t xml:space="preserve"> </w:t>
      </w:r>
      <w:r>
        <w:rPr>
          <w:szCs w:val="24"/>
        </w:rPr>
        <w:t xml:space="preserve">Tu: and </w:t>
      </w:r>
      <w:r w:rsidRPr="00302816">
        <w:rPr>
          <w:szCs w:val="24"/>
        </w:rPr>
        <w:t xml:space="preserve">Th: </w:t>
      </w:r>
      <w:r>
        <w:rPr>
          <w:szCs w:val="24"/>
        </w:rPr>
        <w:t>9 am – 10 am</w:t>
      </w:r>
    </w:p>
    <w:p w14:paraId="4165EEA5" w14:textId="77777777" w:rsidR="004E1984" w:rsidRDefault="004E1984" w:rsidP="00EF0DDE">
      <w:pPr>
        <w:ind w:right="98"/>
        <w:jc w:val="right"/>
        <w:rPr>
          <w:szCs w:val="24"/>
        </w:rPr>
      </w:pPr>
    </w:p>
    <w:p w14:paraId="7E8108E1" w14:textId="77777777" w:rsidR="001B43B0" w:rsidRPr="00A436D3" w:rsidRDefault="00BA2CBC">
      <w:pPr>
        <w:jc w:val="center"/>
        <w:rPr>
          <w:b/>
          <w:sz w:val="36"/>
          <w:u w:val="single"/>
        </w:rPr>
      </w:pPr>
      <w:r>
        <w:rPr>
          <w:b/>
          <w:sz w:val="36"/>
          <w:u w:val="single"/>
        </w:rPr>
        <w:t>LEGISLATION</w:t>
      </w:r>
      <w:r w:rsidR="001B43B0">
        <w:rPr>
          <w:b/>
          <w:sz w:val="36"/>
          <w:u w:val="single"/>
        </w:rPr>
        <w:t xml:space="preserve">-  </w:t>
      </w:r>
      <w:r w:rsidR="00A436D3">
        <w:rPr>
          <w:b/>
          <w:sz w:val="36"/>
          <w:u w:val="single"/>
        </w:rPr>
        <w:t>FALL</w:t>
      </w:r>
      <w:r w:rsidR="004E1984">
        <w:rPr>
          <w:b/>
          <w:sz w:val="36"/>
          <w:u w:val="single"/>
        </w:rPr>
        <w:t xml:space="preserve"> 2015 </w:t>
      </w:r>
      <w:r w:rsidR="001B43B0">
        <w:rPr>
          <w:b/>
          <w:sz w:val="36"/>
          <w:u w:val="single"/>
        </w:rPr>
        <w:t>(</w:t>
      </w:r>
      <w:r w:rsidR="004E1984">
        <w:rPr>
          <w:b/>
          <w:sz w:val="36"/>
          <w:u w:val="single"/>
        </w:rPr>
        <w:t>LAW 580</w:t>
      </w:r>
      <w:r w:rsidR="001B43B0">
        <w:rPr>
          <w:b/>
          <w:sz w:val="36"/>
          <w:u w:val="single"/>
        </w:rPr>
        <w:t>)</w:t>
      </w:r>
    </w:p>
    <w:p w14:paraId="373E9F44" w14:textId="77777777" w:rsidR="001B43B0" w:rsidRPr="00A436D3" w:rsidRDefault="001B43B0">
      <w:pPr>
        <w:jc w:val="center"/>
        <w:rPr>
          <w:b/>
          <w:sz w:val="28"/>
          <w:lang w:val="fr-FR"/>
        </w:rPr>
      </w:pPr>
      <w:r w:rsidRPr="00A436D3">
        <w:rPr>
          <w:b/>
          <w:sz w:val="36"/>
          <w:u w:val="single"/>
          <w:lang w:val="fr-FR"/>
        </w:rPr>
        <w:t>COURSE DESCRIPTION AND SYLLABUS</w:t>
      </w:r>
    </w:p>
    <w:p w14:paraId="7870D389" w14:textId="77777777" w:rsidR="001B43B0" w:rsidRPr="00A436D3" w:rsidRDefault="001B43B0">
      <w:pPr>
        <w:rPr>
          <w:b/>
          <w:lang w:val="fr-FR"/>
        </w:rPr>
      </w:pPr>
    </w:p>
    <w:p w14:paraId="1B7014D3" w14:textId="77777777" w:rsidR="001B43B0" w:rsidRDefault="001B43B0">
      <w:pPr>
        <w:rPr>
          <w:b/>
        </w:rPr>
      </w:pPr>
      <w:r>
        <w:rPr>
          <w:u w:val="single"/>
        </w:rPr>
        <w:t>Introduction</w:t>
      </w:r>
    </w:p>
    <w:p w14:paraId="35DBA56A" w14:textId="77777777" w:rsidR="001B43B0" w:rsidRDefault="001B43B0">
      <w:pPr>
        <w:rPr>
          <w:b/>
        </w:rPr>
      </w:pPr>
    </w:p>
    <w:p w14:paraId="4665A747" w14:textId="77777777" w:rsidR="00BA2CBC" w:rsidRDefault="00BA2CBC" w:rsidP="00CB0EBB">
      <w:pPr>
        <w:ind w:firstLine="720"/>
        <w:jc w:val="left"/>
      </w:pPr>
      <w:r>
        <w:t>An understanding of legislation and statutory interpretation is increasingly necessary as the influence of statutory law broadens to affect a wide range of legal issues. Solutions to many problems facing today’s lawyer involve either knowledge of how legislation develops in Congress or an understanding of how laws will be interpreted by the judicial and executive branches. Focusing on the federal level, we will examine the contemporary legislative process, including the role of interest groups and the effect of lobbying; the use of legislative history in statutory interpretation; and the legal issues implicated by recent legislative reform proposals. We will also explore topics such as constitutional law and the political theory of representation, campaign finance reform, and direct democracy. We will discuss these issues from legal, economic, and political perspectives, and apply theoretical conclusions to practical examples of actual legislation.</w:t>
      </w:r>
    </w:p>
    <w:p w14:paraId="44CF2B7B" w14:textId="77777777" w:rsidR="00BA2CBC" w:rsidRDefault="00BA2CBC">
      <w:pPr>
        <w:ind w:firstLine="720"/>
        <w:rPr>
          <w:bCs/>
        </w:rPr>
      </w:pPr>
    </w:p>
    <w:p w14:paraId="5AC3DB9C" w14:textId="77777777" w:rsidR="001B43B0" w:rsidRDefault="001B43B0">
      <w:pPr>
        <w:rPr>
          <w:b/>
        </w:rPr>
      </w:pPr>
      <w:r>
        <w:rPr>
          <w:u w:val="single"/>
        </w:rPr>
        <w:t>Required Course Materials</w:t>
      </w:r>
    </w:p>
    <w:p w14:paraId="26CCC5EB" w14:textId="77777777" w:rsidR="001B43B0" w:rsidRDefault="001B43B0">
      <w:pPr>
        <w:rPr>
          <w:b/>
        </w:rPr>
      </w:pPr>
    </w:p>
    <w:p w14:paraId="18D17E79" w14:textId="4B48DABA" w:rsidR="001B43B0" w:rsidRDefault="001B43B0">
      <w:pPr>
        <w:tabs>
          <w:tab w:val="left" w:pos="-1440"/>
        </w:tabs>
        <w:ind w:left="720" w:right="720" w:hanging="720"/>
      </w:pPr>
      <w:r>
        <w:rPr>
          <w:smallCaps/>
        </w:rPr>
        <w:t xml:space="preserve">1. </w:t>
      </w:r>
      <w:r w:rsidR="00BA2CBC">
        <w:rPr>
          <w:smallCaps/>
        </w:rPr>
        <w:t xml:space="preserve">William N. Eskridge, </w:t>
      </w:r>
      <w:r w:rsidR="00547188">
        <w:rPr>
          <w:smallCaps/>
        </w:rPr>
        <w:t>Jr.</w:t>
      </w:r>
      <w:r w:rsidR="004E1984">
        <w:rPr>
          <w:smallCaps/>
        </w:rPr>
        <w:t xml:space="preserve">, Philip P. Frickey, </w:t>
      </w:r>
      <w:r w:rsidR="00BA2CBC">
        <w:rPr>
          <w:smallCaps/>
        </w:rPr>
        <w:t xml:space="preserve">Elizabeth  Garrett, </w:t>
      </w:r>
      <w:r w:rsidR="004E1984">
        <w:rPr>
          <w:smallCaps/>
        </w:rPr>
        <w:t>and James J. Brudney</w:t>
      </w:r>
      <w:r w:rsidR="00C46BDA">
        <w:rPr>
          <w:smallCaps/>
        </w:rPr>
        <w:t>,</w:t>
      </w:r>
      <w:r w:rsidR="004E1984">
        <w:rPr>
          <w:smallCaps/>
        </w:rPr>
        <w:t xml:space="preserve"> </w:t>
      </w:r>
      <w:r w:rsidR="00BA2CBC">
        <w:rPr>
          <w:smallCaps/>
        </w:rPr>
        <w:t xml:space="preserve">Cases and Materials on Legislation </w:t>
      </w:r>
      <w:r w:rsidR="00BA2CBC">
        <w:t xml:space="preserve">(West </w:t>
      </w:r>
      <w:r w:rsidR="004E1984">
        <w:t>5</w:t>
      </w:r>
      <w:r w:rsidR="003605A2">
        <w:t>th</w:t>
      </w:r>
      <w:r w:rsidR="004E1984">
        <w:t xml:space="preserve"> ed. 2014</w:t>
      </w:r>
      <w:r w:rsidR="00BA2CBC">
        <w:t>) (</w:t>
      </w:r>
      <w:r w:rsidR="003605A2">
        <w:t>“</w:t>
      </w:r>
      <w:r w:rsidR="00BA2CBC">
        <w:t>CB</w:t>
      </w:r>
      <w:r w:rsidR="003605A2">
        <w:t>”</w:t>
      </w:r>
      <w:r w:rsidR="00BA2CBC">
        <w:t>)</w:t>
      </w:r>
    </w:p>
    <w:p w14:paraId="37EDA0FA" w14:textId="77777777" w:rsidR="004E1984" w:rsidRDefault="004E1984">
      <w:pPr>
        <w:tabs>
          <w:tab w:val="left" w:pos="-1440"/>
        </w:tabs>
        <w:ind w:left="720" w:right="720" w:hanging="720"/>
      </w:pPr>
    </w:p>
    <w:p w14:paraId="3245796D" w14:textId="0DB141C5" w:rsidR="004E1984" w:rsidRPr="004E1984" w:rsidRDefault="004E1984">
      <w:pPr>
        <w:tabs>
          <w:tab w:val="left" w:pos="-1440"/>
        </w:tabs>
        <w:ind w:left="720" w:right="720" w:hanging="720"/>
      </w:pPr>
      <w:r>
        <w:t xml:space="preserve">2. </w:t>
      </w:r>
      <w:r>
        <w:rPr>
          <w:smallCaps/>
        </w:rPr>
        <w:t xml:space="preserve">Richard L. Hasen, Examples &amp; Explanations: Legislation, Statutory Interpretation, and Election Law </w:t>
      </w:r>
      <w:r w:rsidR="00C46BDA">
        <w:t>(Wolters Klu</w:t>
      </w:r>
      <w:r>
        <w:t>wer 2014) (“Hasen”)</w:t>
      </w:r>
    </w:p>
    <w:p w14:paraId="2E5025F0" w14:textId="77777777" w:rsidR="00E202F9" w:rsidRDefault="00E202F9">
      <w:pPr>
        <w:tabs>
          <w:tab w:val="left" w:pos="-1440"/>
        </w:tabs>
        <w:ind w:left="720" w:right="720" w:hanging="720"/>
      </w:pPr>
    </w:p>
    <w:p w14:paraId="53CC2BC6" w14:textId="77777777" w:rsidR="001B43B0" w:rsidRDefault="004E1984" w:rsidP="004E1984">
      <w:pPr>
        <w:tabs>
          <w:tab w:val="left" w:pos="-1440"/>
        </w:tabs>
        <w:ind w:right="720"/>
      </w:pPr>
      <w:r>
        <w:t>3.  Supplemental readi</w:t>
      </w:r>
      <w:r w:rsidR="00816D34">
        <w:t>ngs (listed as</w:t>
      </w:r>
      <w:r>
        <w:t xml:space="preserve"> </w:t>
      </w:r>
      <w:r w:rsidR="00816D34">
        <w:t>“</w:t>
      </w:r>
      <w:r>
        <w:t>on TWEN</w:t>
      </w:r>
      <w:r w:rsidR="00816D34">
        <w:t>”</w:t>
      </w:r>
      <w:r>
        <w:t>)</w:t>
      </w:r>
    </w:p>
    <w:p w14:paraId="48FB5375" w14:textId="77777777" w:rsidR="005F2C4D" w:rsidRDefault="005F2C4D" w:rsidP="004E1984">
      <w:pPr>
        <w:tabs>
          <w:tab w:val="left" w:pos="-1440"/>
        </w:tabs>
        <w:ind w:right="720"/>
      </w:pPr>
    </w:p>
    <w:p w14:paraId="3E8CE3AB" w14:textId="5007524C" w:rsidR="005F2C4D" w:rsidRDefault="005F2C4D" w:rsidP="005F2C4D">
      <w:pPr>
        <w:jc w:val="left"/>
      </w:pPr>
      <w:r w:rsidRPr="00840E30">
        <w:rPr>
          <w:u w:val="single"/>
        </w:rPr>
        <w:t>NOTE</w:t>
      </w:r>
      <w:r>
        <w:t xml:space="preserve">: Class will </w:t>
      </w:r>
      <w:r w:rsidRPr="00CB0EBB">
        <w:rPr>
          <w:u w:val="single"/>
        </w:rPr>
        <w:t>not</w:t>
      </w:r>
      <w:r>
        <w:t xml:space="preserve"> meet 9/10 and 9/14. There will be </w:t>
      </w:r>
      <w:r w:rsidRPr="00CB0EBB">
        <w:rPr>
          <w:u w:val="single"/>
        </w:rPr>
        <w:t>a makeup class</w:t>
      </w:r>
      <w:r>
        <w:t xml:space="preserve"> on 9/8 from 12-1 pm in Law 3500.</w:t>
      </w:r>
      <w:r>
        <w:t xml:space="preserve">  We will have a guest speaker (Sen. Joe Dunn) on 12/9.</w:t>
      </w:r>
      <w:bookmarkStart w:id="0" w:name="_GoBack"/>
      <w:bookmarkEnd w:id="0"/>
    </w:p>
    <w:p w14:paraId="6CBD8B10" w14:textId="77777777" w:rsidR="005F2C4D" w:rsidRDefault="005F2C4D" w:rsidP="004E1984">
      <w:pPr>
        <w:tabs>
          <w:tab w:val="left" w:pos="-1440"/>
        </w:tabs>
        <w:ind w:right="720"/>
      </w:pPr>
    </w:p>
    <w:p w14:paraId="5AB81EA0" w14:textId="77777777" w:rsidR="009B291B" w:rsidRDefault="009B291B">
      <w:pPr>
        <w:tabs>
          <w:tab w:val="left" w:pos="-1440"/>
        </w:tabs>
        <w:ind w:left="720" w:right="720" w:hanging="720"/>
      </w:pPr>
    </w:p>
    <w:p w14:paraId="2893BEDB" w14:textId="77777777" w:rsidR="005F2C4D" w:rsidRDefault="005F2C4D">
      <w:pPr>
        <w:widowControl/>
        <w:jc w:val="left"/>
        <w:rPr>
          <w:u w:val="single"/>
        </w:rPr>
      </w:pPr>
      <w:r>
        <w:rPr>
          <w:u w:val="single"/>
        </w:rPr>
        <w:br w:type="page"/>
      </w:r>
    </w:p>
    <w:p w14:paraId="647BB5D7" w14:textId="3E06DE87" w:rsidR="001B43B0" w:rsidRDefault="001B43B0">
      <w:r>
        <w:rPr>
          <w:u w:val="single"/>
        </w:rPr>
        <w:lastRenderedPageBreak/>
        <w:t>Course Requirements</w:t>
      </w:r>
    </w:p>
    <w:p w14:paraId="78FBF183" w14:textId="77777777" w:rsidR="001B43B0" w:rsidRDefault="001B43B0"/>
    <w:p w14:paraId="61F56BBC" w14:textId="472CE0F9" w:rsidR="005F2C4D" w:rsidRPr="0087247B" w:rsidRDefault="005F2C4D" w:rsidP="005F2C4D">
      <w:pPr>
        <w:rPr>
          <w:b/>
        </w:rPr>
      </w:pPr>
      <w:r>
        <w:rPr>
          <w:b/>
        </w:rPr>
        <w:t>1</w:t>
      </w:r>
      <w:r>
        <w:rPr>
          <w:b/>
        </w:rPr>
        <w:t xml:space="preserve">) </w:t>
      </w:r>
      <w:r>
        <w:rPr>
          <w:b/>
        </w:rPr>
        <w:tab/>
        <w:t>Attendance and participation requirements: 20% of course grade</w:t>
      </w:r>
    </w:p>
    <w:p w14:paraId="1F3303C9" w14:textId="77777777" w:rsidR="005F2C4D" w:rsidRDefault="005F2C4D" w:rsidP="005F2C4D"/>
    <w:p w14:paraId="0324EC7F" w14:textId="77777777" w:rsidR="005F2C4D" w:rsidRDefault="005F2C4D" w:rsidP="005F2C4D">
      <w:pPr>
        <w:jc w:val="left"/>
      </w:pPr>
      <w:r>
        <w:tab/>
        <w:t>I expect regular attendance.  I will pass around an attendance sheet for you to sign. (It is a violation of the honor code to sign for another student.)  Students who miss more than three classes without a valid doctor’s note or excuse approved by the assistant dean for students will have this portion of their grade lowered one increment (e.g., from B+ to B) for each 3 classes missed. I will not take attendance at any make up sessions and these sessions will be videotaped.</w:t>
      </w:r>
    </w:p>
    <w:p w14:paraId="3A9179A3" w14:textId="77777777" w:rsidR="005F2C4D" w:rsidRDefault="005F2C4D" w:rsidP="005F2C4D">
      <w:pPr>
        <w:jc w:val="left"/>
      </w:pPr>
    </w:p>
    <w:p w14:paraId="79F43037" w14:textId="77777777" w:rsidR="005F2C4D" w:rsidRDefault="005F2C4D" w:rsidP="005F2C4D">
      <w:r>
        <w:tab/>
        <w:t xml:space="preserve">I also expect you to participate regularly in class. You will sign up for four class sessions to be “on call” via TWEN.  Students who fail to show up or who pass during their “on call” sessions will receive a lower grade, and missing more than one “on-call” day without an approved excuse will result in </w:t>
      </w:r>
      <w:r w:rsidRPr="0098129C">
        <w:rPr>
          <w:u w:val="single"/>
        </w:rPr>
        <w:t>a failing grade</w:t>
      </w:r>
      <w:r>
        <w:t xml:space="preserve"> in this part of the course.</w:t>
      </w:r>
    </w:p>
    <w:p w14:paraId="27EAA232" w14:textId="77777777" w:rsidR="005F2C4D" w:rsidRDefault="005F2C4D" w:rsidP="005F2C4D"/>
    <w:p w14:paraId="6F5D2783" w14:textId="77777777" w:rsidR="005F2C4D" w:rsidRPr="00DF1D5E" w:rsidRDefault="005F2C4D" w:rsidP="005F2C4D">
      <w:pPr>
        <w:rPr>
          <w:b/>
        </w:rPr>
      </w:pPr>
      <w:r>
        <w:rPr>
          <w:b/>
        </w:rPr>
        <w:t xml:space="preserve">2) </w:t>
      </w:r>
      <w:r>
        <w:rPr>
          <w:b/>
        </w:rPr>
        <w:tab/>
        <w:t>Final examination: 80% of course grade</w:t>
      </w:r>
    </w:p>
    <w:p w14:paraId="63C1B424" w14:textId="77777777" w:rsidR="005F2C4D" w:rsidRDefault="005F2C4D" w:rsidP="005F2C4D"/>
    <w:p w14:paraId="7489300A" w14:textId="237B6611" w:rsidR="005F2C4D" w:rsidRPr="00265794" w:rsidRDefault="005F2C4D" w:rsidP="005F2C4D">
      <w:pPr>
        <w:ind w:firstLine="720"/>
        <w:jc w:val="left"/>
        <w:rPr>
          <w:szCs w:val="24"/>
        </w:rPr>
      </w:pPr>
      <w:r>
        <w:t>The f</w:t>
      </w:r>
      <w:r>
        <w:t>inal</w:t>
      </w:r>
      <w:r w:rsidRPr="00265794">
        <w:rPr>
          <w:szCs w:val="24"/>
        </w:rPr>
        <w:t xml:space="preserve"> examination will be in 2 parts: Part I (2 hours, 15 minutes) and Part II (1 hour).</w:t>
      </w:r>
    </w:p>
    <w:p w14:paraId="4E04DED3" w14:textId="77777777" w:rsidR="005F2C4D" w:rsidRPr="00265794" w:rsidRDefault="005F2C4D" w:rsidP="005F2C4D">
      <w:pPr>
        <w:pStyle w:val="Footer"/>
        <w:tabs>
          <w:tab w:val="clear" w:pos="4320"/>
          <w:tab w:val="clear" w:pos="8640"/>
        </w:tabs>
        <w:jc w:val="left"/>
        <w:rPr>
          <w:szCs w:val="24"/>
        </w:rPr>
      </w:pPr>
    </w:p>
    <w:p w14:paraId="2BE533C6" w14:textId="77777777" w:rsidR="005F2C4D" w:rsidRPr="00265794" w:rsidRDefault="005F2C4D" w:rsidP="005F2C4D">
      <w:pPr>
        <w:pStyle w:val="Footer"/>
        <w:tabs>
          <w:tab w:val="clear" w:pos="4320"/>
          <w:tab w:val="clear" w:pos="8640"/>
        </w:tabs>
        <w:ind w:firstLine="720"/>
        <w:jc w:val="left"/>
        <w:rPr>
          <w:szCs w:val="24"/>
        </w:rPr>
      </w:pPr>
      <w:r w:rsidRPr="00265794">
        <w:rPr>
          <w:szCs w:val="24"/>
        </w:rPr>
        <w:t>Part I is open book and open note; any written materials are allowed.  Part I consists of two essays.  The first essay, the “statutory interpretation essay,” is worth 50% of your final examination grade (suggested time: 1 hour, 30 minutes).  The second essay, the “thought” essay, is worth 25% of your final examination grade (suggested time: 45 minutes).</w:t>
      </w:r>
    </w:p>
    <w:p w14:paraId="12FFF4B8" w14:textId="77777777" w:rsidR="005F2C4D" w:rsidRPr="00265794" w:rsidRDefault="005F2C4D" w:rsidP="005F2C4D">
      <w:pPr>
        <w:pStyle w:val="Footer"/>
        <w:tabs>
          <w:tab w:val="clear" w:pos="4320"/>
          <w:tab w:val="clear" w:pos="8640"/>
        </w:tabs>
        <w:jc w:val="left"/>
        <w:rPr>
          <w:szCs w:val="24"/>
        </w:rPr>
      </w:pPr>
    </w:p>
    <w:p w14:paraId="005BFCC2" w14:textId="77777777" w:rsidR="005F2C4D" w:rsidRPr="00265794" w:rsidRDefault="005F2C4D" w:rsidP="005F2C4D">
      <w:pPr>
        <w:pStyle w:val="Footer"/>
        <w:tabs>
          <w:tab w:val="clear" w:pos="4320"/>
          <w:tab w:val="clear" w:pos="8640"/>
        </w:tabs>
        <w:ind w:firstLine="720"/>
        <w:jc w:val="left"/>
        <w:rPr>
          <w:szCs w:val="24"/>
        </w:rPr>
      </w:pPr>
      <w:r w:rsidRPr="00265794">
        <w:rPr>
          <w:szCs w:val="24"/>
        </w:rPr>
        <w:t>When Part I ends, there will be a 10 minute exit break.</w:t>
      </w:r>
    </w:p>
    <w:p w14:paraId="63FC3DA5" w14:textId="77777777" w:rsidR="005F2C4D" w:rsidRPr="00265794" w:rsidRDefault="005F2C4D" w:rsidP="005F2C4D">
      <w:pPr>
        <w:pStyle w:val="Footer"/>
        <w:tabs>
          <w:tab w:val="clear" w:pos="4320"/>
          <w:tab w:val="clear" w:pos="8640"/>
        </w:tabs>
        <w:jc w:val="left"/>
        <w:rPr>
          <w:szCs w:val="24"/>
        </w:rPr>
      </w:pPr>
    </w:p>
    <w:p w14:paraId="5ED5D25C" w14:textId="77777777" w:rsidR="005F2C4D" w:rsidRPr="00265794" w:rsidRDefault="005F2C4D" w:rsidP="005F2C4D">
      <w:pPr>
        <w:pStyle w:val="Footer"/>
        <w:tabs>
          <w:tab w:val="clear" w:pos="4320"/>
          <w:tab w:val="clear" w:pos="8640"/>
        </w:tabs>
        <w:ind w:firstLine="720"/>
        <w:jc w:val="left"/>
        <w:rPr>
          <w:szCs w:val="24"/>
        </w:rPr>
      </w:pPr>
      <w:r w:rsidRPr="00265794">
        <w:rPr>
          <w:szCs w:val="24"/>
        </w:rPr>
        <w:t>Part II is closed book and closed note: no written materials are allowed.  Part II is the multiple choice portion of the examination consisting of 20 questions in 60 minutes. It is worth 25% of your final examination grade.</w:t>
      </w:r>
    </w:p>
    <w:p w14:paraId="64C8559C" w14:textId="77777777" w:rsidR="005F2C4D" w:rsidRDefault="005F2C4D" w:rsidP="005F2C4D">
      <w:pPr>
        <w:ind w:firstLine="720"/>
        <w:jc w:val="left"/>
      </w:pPr>
    </w:p>
    <w:p w14:paraId="1B109A6D" w14:textId="77777777" w:rsidR="001B43B0" w:rsidRDefault="006B00C8">
      <w:pPr>
        <w:rPr>
          <w:b/>
          <w:u w:val="single"/>
        </w:rPr>
      </w:pPr>
      <w:r>
        <w:br w:type="page"/>
      </w:r>
      <w:r w:rsidR="001B43B0">
        <w:rPr>
          <w:b/>
          <w:u w:val="single"/>
        </w:rPr>
        <w:t xml:space="preserve">Syllabus  (Subject to Revision) </w:t>
      </w:r>
    </w:p>
    <w:p w14:paraId="6700FCDF" w14:textId="77777777" w:rsidR="001B43B0" w:rsidRDefault="001B43B0">
      <w:pPr>
        <w:rPr>
          <w:b/>
        </w:rPr>
      </w:pPr>
    </w:p>
    <w:p w14:paraId="77BDA32A" w14:textId="5B78379C" w:rsidR="00BA2CBC" w:rsidRDefault="00BA2CBC" w:rsidP="00CB0EBB">
      <w:pPr>
        <w:jc w:val="left"/>
      </w:pPr>
      <w:r>
        <w:rPr>
          <w:b/>
          <w:u w:val="single"/>
        </w:rPr>
        <w:t>Note</w:t>
      </w:r>
      <w:r>
        <w:t>: Numbers in parentheses represent the “unit” that I estimate we will cover in a typical 90 minute class meeting.  (You should read an entire unit if</w:t>
      </w:r>
      <w:r w:rsidR="009902A0">
        <w:t xml:space="preserve"> there are subparts, e.g., 3</w:t>
      </w:r>
      <w:r w:rsidR="009E41D6">
        <w:t>a and 3</w:t>
      </w:r>
      <w:r w:rsidR="009902A0">
        <w:t>b should be read for Unit 3</w:t>
      </w:r>
      <w:r w:rsidR="005932D6">
        <w:t xml:space="preserve">.) </w:t>
      </w:r>
      <w:r>
        <w:t>These units are merely estimates: some units may take more or les</w:t>
      </w:r>
      <w:r w:rsidR="005932D6">
        <w:t xml:space="preserve">s time than one class meeting. </w:t>
      </w:r>
      <w:r>
        <w:t>You should always stay ½ unit ahead in case we finish the assigned unit early.</w:t>
      </w:r>
    </w:p>
    <w:p w14:paraId="41297FD6" w14:textId="77777777" w:rsidR="00B02D4E" w:rsidRDefault="00B02D4E" w:rsidP="00BA2CBC"/>
    <w:p w14:paraId="701A1F10" w14:textId="77777777" w:rsidR="00B02D4E" w:rsidRDefault="00B02D4E" w:rsidP="00CB0EBB">
      <w:pPr>
        <w:jc w:val="left"/>
      </w:pPr>
      <w:r>
        <w:t>Feel free to skip the problems in the Hasen reading if you do not feel you need ext</w:t>
      </w:r>
      <w:r w:rsidR="00CB0EBB">
        <w:t>r</w:t>
      </w:r>
      <w:r>
        <w:t>a coverage of the topics</w:t>
      </w:r>
      <w:r w:rsidR="00CB0EBB">
        <w:t>.</w:t>
      </w:r>
    </w:p>
    <w:p w14:paraId="35269F5A" w14:textId="77777777" w:rsidR="00BA2CBC" w:rsidRDefault="00BA2CBC" w:rsidP="00BA2CBC">
      <w:pPr>
        <w:rPr>
          <w:b/>
        </w:rPr>
      </w:pPr>
    </w:p>
    <w:p w14:paraId="25BC00F6" w14:textId="77777777" w:rsidR="00BA2CBC" w:rsidRDefault="00CB0EBB" w:rsidP="00BA2CBC">
      <w:pPr>
        <w:rPr>
          <w:b/>
        </w:rPr>
      </w:pPr>
      <w:r>
        <w:rPr>
          <w:b/>
        </w:rPr>
        <w:t>I.</w:t>
      </w:r>
      <w:r>
        <w:rPr>
          <w:b/>
        </w:rPr>
        <w:tab/>
        <w:t>Introduction—</w:t>
      </w:r>
      <w:r w:rsidR="00BA2CBC">
        <w:rPr>
          <w:b/>
        </w:rPr>
        <w:t xml:space="preserve">Theoretical Models of the Legislative Process  </w:t>
      </w:r>
    </w:p>
    <w:p w14:paraId="387D98DC" w14:textId="77777777" w:rsidR="00BA2CBC" w:rsidRDefault="00BA2CBC" w:rsidP="00BA2CBC">
      <w:pPr>
        <w:numPr>
          <w:ilvl w:val="0"/>
          <w:numId w:val="2"/>
        </w:numPr>
        <w:tabs>
          <w:tab w:val="left" w:pos="-1440"/>
        </w:tabs>
      </w:pPr>
    </w:p>
    <w:p w14:paraId="455E124D" w14:textId="77777777" w:rsidR="00BA2CBC" w:rsidRDefault="00BA2CBC" w:rsidP="00BA2CBC">
      <w:pPr>
        <w:numPr>
          <w:ilvl w:val="0"/>
          <w:numId w:val="3"/>
        </w:numPr>
        <w:tabs>
          <w:tab w:val="left" w:pos="-1440"/>
        </w:tabs>
      </w:pPr>
      <w:r>
        <w:t>(1) The Story of the Civil Rights Act of 1964 and the Procedures of Statute-Creatio</w:t>
      </w:r>
      <w:r w:rsidR="004E1984">
        <w:t>n, CB 1-21</w:t>
      </w:r>
    </w:p>
    <w:p w14:paraId="44F100C5" w14:textId="77777777" w:rsidR="00DE4C62" w:rsidRDefault="00BA2CBC" w:rsidP="00BA2CBC">
      <w:pPr>
        <w:tabs>
          <w:tab w:val="left" w:pos="-1440"/>
        </w:tabs>
        <w:ind w:left="1440"/>
      </w:pPr>
      <w:r>
        <w:t xml:space="preserve">(2) How a Bill Becomes a Federal Law, CB </w:t>
      </w:r>
      <w:r w:rsidR="004E1984">
        <w:t>21-37</w:t>
      </w:r>
      <w:r>
        <w:t xml:space="preserve">, </w:t>
      </w:r>
      <w:r w:rsidR="004E1984">
        <w:t xml:space="preserve">Hasen 19-25, </w:t>
      </w:r>
      <w:r w:rsidR="004263EC">
        <w:t>29 (bottom) - 33</w:t>
      </w:r>
    </w:p>
    <w:p w14:paraId="6CB75583" w14:textId="77777777" w:rsidR="00BA2CBC" w:rsidRDefault="00BA2CBC" w:rsidP="00BA2CBC">
      <w:pPr>
        <w:tabs>
          <w:tab w:val="left" w:pos="-1440"/>
        </w:tabs>
        <w:ind w:left="1440"/>
      </w:pPr>
      <w:r>
        <w:t xml:space="preserve">Introductory Problems: </w:t>
      </w:r>
    </w:p>
    <w:p w14:paraId="50587B86" w14:textId="77777777" w:rsidR="00BA2CBC" w:rsidRDefault="00C620E0" w:rsidP="00BA2CBC">
      <w:pPr>
        <w:tabs>
          <w:tab w:val="left" w:pos="-1440"/>
        </w:tabs>
        <w:ind w:left="1440"/>
      </w:pPr>
      <w:r>
        <w:t>(3a</w:t>
      </w:r>
      <w:r w:rsidR="00BA2CBC">
        <w:t>) Title VII race di</w:t>
      </w:r>
      <w:r w:rsidR="00816D34">
        <w:t>scrimination/agencies materials, CB 61-79</w:t>
      </w:r>
    </w:p>
    <w:p w14:paraId="6D87A41C" w14:textId="77777777" w:rsidR="00BA2CBC" w:rsidRDefault="007722F6" w:rsidP="00BA2CBC">
      <w:pPr>
        <w:tabs>
          <w:tab w:val="left" w:pos="-1440"/>
        </w:tabs>
        <w:ind w:left="1440"/>
      </w:pPr>
      <w:r>
        <w:t>(3b</w:t>
      </w:r>
      <w:r w:rsidR="00BA2CBC">
        <w:t>) Title V</w:t>
      </w:r>
      <w:r w:rsidR="00DE4C62">
        <w:t>II sex discrimination materials</w:t>
      </w:r>
      <w:r w:rsidR="00816D34">
        <w:t>, on TWEN</w:t>
      </w:r>
      <w:r w:rsidR="00DE4C62">
        <w:t xml:space="preserve"> (</w:t>
      </w:r>
      <w:r w:rsidR="00C620E0">
        <w:t xml:space="preserve">skim material; </w:t>
      </w:r>
      <w:r w:rsidR="00BA2CBC">
        <w:t>focus on the problems at the end of this material</w:t>
      </w:r>
      <w:r w:rsidR="00DE4C62">
        <w:t>)</w:t>
      </w:r>
    </w:p>
    <w:p w14:paraId="07AFBD9D" w14:textId="77777777" w:rsidR="00BA2CBC" w:rsidRDefault="00BA2CBC" w:rsidP="00BA2CBC">
      <w:pPr>
        <w:tabs>
          <w:tab w:val="left" w:pos="-1440"/>
        </w:tabs>
        <w:ind w:left="1440"/>
      </w:pPr>
    </w:p>
    <w:p w14:paraId="7C09D1D3" w14:textId="77777777" w:rsidR="00BA2CBC" w:rsidRDefault="00BA2CBC" w:rsidP="00BA2CBC">
      <w:pPr>
        <w:numPr>
          <w:ilvl w:val="0"/>
          <w:numId w:val="3"/>
        </w:numPr>
        <w:tabs>
          <w:tab w:val="left" w:pos="-1440"/>
        </w:tabs>
      </w:pPr>
      <w:r>
        <w:t>Descriptive and Normative Theories of Legislation</w:t>
      </w:r>
    </w:p>
    <w:p w14:paraId="1FC388C9" w14:textId="77777777" w:rsidR="00BA2CBC" w:rsidRDefault="007722F6" w:rsidP="00BA2CBC">
      <w:pPr>
        <w:tabs>
          <w:tab w:val="left" w:pos="-1440"/>
        </w:tabs>
        <w:ind w:left="1440"/>
      </w:pPr>
      <w:r>
        <w:t>(4</w:t>
      </w:r>
      <w:r w:rsidR="003605A2">
        <w:t xml:space="preserve">) CB </w:t>
      </w:r>
      <w:r w:rsidR="004263EC">
        <w:t>28-60</w:t>
      </w:r>
      <w:r w:rsidR="00816D34">
        <w:t>, Hasen 25-29</w:t>
      </w:r>
    </w:p>
    <w:p w14:paraId="2B6347AF" w14:textId="77777777" w:rsidR="00BA2CBC" w:rsidRDefault="00BA2CBC" w:rsidP="00BA2CBC">
      <w:pPr>
        <w:tabs>
          <w:tab w:val="left" w:pos="-1440"/>
        </w:tabs>
        <w:ind w:left="1440"/>
      </w:pPr>
      <w:r>
        <w:t xml:space="preserve"> </w:t>
      </w:r>
    </w:p>
    <w:p w14:paraId="1AC1D50D" w14:textId="77777777" w:rsidR="00BA2CBC" w:rsidRDefault="00BA2CBC" w:rsidP="00BA2CBC">
      <w:pPr>
        <w:tabs>
          <w:tab w:val="left" w:pos="-1440"/>
        </w:tabs>
        <w:ind w:left="720"/>
      </w:pPr>
      <w:r>
        <w:t>C.</w:t>
      </w:r>
      <w:r>
        <w:tab/>
        <w:t>Applying Theory to an Interpretive Problem</w:t>
      </w:r>
    </w:p>
    <w:p w14:paraId="19170A59" w14:textId="77777777" w:rsidR="00BA2CBC" w:rsidRPr="00840E30" w:rsidRDefault="007722F6" w:rsidP="003605A2">
      <w:pPr>
        <w:tabs>
          <w:tab w:val="left" w:pos="-1440"/>
        </w:tabs>
        <w:ind w:left="1440"/>
      </w:pPr>
      <w:r>
        <w:t>(5</w:t>
      </w:r>
      <w:r w:rsidR="00BA2CBC">
        <w:t xml:space="preserve">) Title VII and affirmative action, CB </w:t>
      </w:r>
      <w:r w:rsidR="00816D34">
        <w:t>79-116</w:t>
      </w:r>
      <w:r w:rsidR="00BA2CBC">
        <w:t xml:space="preserve"> (concentrate on statutory interpretation issues, </w:t>
      </w:r>
      <w:r w:rsidR="00BA2CBC">
        <w:rPr>
          <w:i/>
        </w:rPr>
        <w:t>not</w:t>
      </w:r>
      <w:r w:rsidR="00BA2CBC">
        <w:t xml:space="preserve"> the substance of Title VII)</w:t>
      </w:r>
      <w:r w:rsidR="00816D34">
        <w:t xml:space="preserve">, </w:t>
      </w:r>
      <w:r w:rsidR="00840E30">
        <w:rPr>
          <w:i/>
        </w:rPr>
        <w:t>Texas Dep’t of Housing and Community Affairs v. Inclusive Communities Project</w:t>
      </w:r>
      <w:r w:rsidR="00840E30">
        <w:t>, on TWEN (skim)</w:t>
      </w:r>
    </w:p>
    <w:p w14:paraId="23F4BBC5" w14:textId="77777777" w:rsidR="00BA2CBC" w:rsidRDefault="00BA2CBC" w:rsidP="00BA2CBC">
      <w:pPr>
        <w:pStyle w:val="Heading1"/>
      </w:pPr>
    </w:p>
    <w:p w14:paraId="7ED43A52" w14:textId="77777777" w:rsidR="00BA2CBC" w:rsidRDefault="00BA2CBC" w:rsidP="00BA2CBC">
      <w:pPr>
        <w:pStyle w:val="Heading1"/>
      </w:pPr>
      <w:r>
        <w:t>II.</w:t>
      </w:r>
      <w:r>
        <w:tab/>
        <w:t>Structural Aspects of the Legislative Process</w:t>
      </w:r>
    </w:p>
    <w:p w14:paraId="2ECE601D" w14:textId="77777777" w:rsidR="00BA2CBC" w:rsidRDefault="00BA2CBC" w:rsidP="00BA2CBC">
      <w:pPr>
        <w:numPr>
          <w:ilvl w:val="0"/>
          <w:numId w:val="2"/>
        </w:numPr>
        <w:tabs>
          <w:tab w:val="left" w:pos="-1440"/>
        </w:tabs>
      </w:pPr>
    </w:p>
    <w:p w14:paraId="3E4A09FC" w14:textId="77777777" w:rsidR="00BA2CBC" w:rsidRDefault="00CF3AFA" w:rsidP="00CF3AFA">
      <w:pPr>
        <w:tabs>
          <w:tab w:val="left" w:pos="-1440"/>
        </w:tabs>
        <w:ind w:left="720"/>
      </w:pPr>
      <w:r>
        <w:t>A.</w:t>
      </w:r>
      <w:r>
        <w:tab/>
      </w:r>
      <w:r w:rsidR="00BA2CBC">
        <w:t>(</w:t>
      </w:r>
      <w:r w:rsidR="00EE75EB">
        <w:t>6</w:t>
      </w:r>
      <w:r w:rsidR="00BA2CBC">
        <w:t xml:space="preserve">) Eligibility to Serve in Congress/Term Limits, CB </w:t>
      </w:r>
      <w:r w:rsidR="00EF0DDE">
        <w:t>171-99, Hasen, 35-46 (top)</w:t>
      </w:r>
    </w:p>
    <w:p w14:paraId="396DCD08" w14:textId="77777777" w:rsidR="006B00C8" w:rsidRDefault="00CF3AFA" w:rsidP="006B00C8">
      <w:pPr>
        <w:tabs>
          <w:tab w:val="left" w:pos="-1440"/>
        </w:tabs>
        <w:ind w:left="720"/>
      </w:pPr>
      <w:r>
        <w:t>B.</w:t>
      </w:r>
      <w:r>
        <w:tab/>
      </w:r>
      <w:r w:rsidR="00BA2CBC">
        <w:t>(</w:t>
      </w:r>
      <w:r w:rsidR="00EE75EB">
        <w:t>7</w:t>
      </w:r>
      <w:r w:rsidR="00BA2CBC">
        <w:t>)</w:t>
      </w:r>
      <w:r w:rsidR="008861B8">
        <w:t>, (8a)</w:t>
      </w:r>
      <w:r w:rsidR="00BA2CBC">
        <w:t xml:space="preserve"> Rules Facilitating Legislative Deliberation, CB </w:t>
      </w:r>
      <w:r w:rsidR="00EE75EB">
        <w:t>3</w:t>
      </w:r>
      <w:r w:rsidR="00EF0DDE">
        <w:t>0</w:t>
      </w:r>
      <w:r w:rsidR="008861B8">
        <w:t>6</w:t>
      </w:r>
      <w:r w:rsidR="00EE75EB">
        <w:t>-</w:t>
      </w:r>
      <w:r w:rsidR="00EF0DDE">
        <w:t xml:space="preserve">353, Hasen </w:t>
      </w:r>
      <w:r w:rsidR="008861B8">
        <w:t>46-54</w:t>
      </w:r>
    </w:p>
    <w:p w14:paraId="445F867F" w14:textId="77777777" w:rsidR="00CF3AFA" w:rsidRDefault="006B00C8" w:rsidP="006B00C8">
      <w:pPr>
        <w:tabs>
          <w:tab w:val="left" w:pos="-1440"/>
        </w:tabs>
        <w:ind w:left="720"/>
      </w:pPr>
      <w:r>
        <w:t>C.</w:t>
      </w:r>
      <w:r>
        <w:tab/>
      </w:r>
      <w:r w:rsidR="00BA2CBC">
        <w:t>(</w:t>
      </w:r>
      <w:r w:rsidR="00CF3AFA">
        <w:t>8</w:t>
      </w:r>
      <w:r w:rsidR="008861B8">
        <w:t>b</w:t>
      </w:r>
      <w:r w:rsidR="00BA2CBC">
        <w:t>) Bribery, Bribe</w:t>
      </w:r>
      <w:r w:rsidR="00EE75EB">
        <w:t>ry hypotheticals</w:t>
      </w:r>
      <w:r w:rsidR="008861B8">
        <w:t>, on TWEN</w:t>
      </w:r>
      <w:r w:rsidR="00BA2CBC">
        <w:t>, CB</w:t>
      </w:r>
      <w:r>
        <w:t xml:space="preserve"> </w:t>
      </w:r>
      <w:r w:rsidR="008861B8">
        <w:t>261-72 (top)</w:t>
      </w:r>
      <w:r>
        <w:t>,</w:t>
      </w:r>
      <w:r w:rsidR="008861B8">
        <w:t xml:space="preserve"> Hasen 76-90</w:t>
      </w:r>
    </w:p>
    <w:p w14:paraId="1FB780C5" w14:textId="7F7B96D3" w:rsidR="00CF3AFA" w:rsidRDefault="006B00C8" w:rsidP="006B00C8">
      <w:pPr>
        <w:tabs>
          <w:tab w:val="left" w:pos="-1440"/>
        </w:tabs>
        <w:ind w:left="720"/>
      </w:pPr>
      <w:r>
        <w:t>D.</w:t>
      </w:r>
      <w:r>
        <w:tab/>
      </w:r>
      <w:r w:rsidR="00BA2CBC">
        <w:t>(</w:t>
      </w:r>
      <w:r w:rsidR="00CF3AFA">
        <w:t>9</w:t>
      </w:r>
      <w:r w:rsidR="00BA2CBC">
        <w:t>) Campaign Finance,</w:t>
      </w:r>
      <w:r w:rsidR="00CF3AFA">
        <w:t xml:space="preserve"> </w:t>
      </w:r>
      <w:r w:rsidR="008861B8">
        <w:t>Hasen, 319-65</w:t>
      </w:r>
      <w:r w:rsidR="00CF3AFA">
        <w:rPr>
          <w:vanish/>
        </w:rPr>
        <w:t xml:space="preserve">Hasen, Buck </w:t>
      </w:r>
      <w:r w:rsidR="00590079">
        <w:rPr>
          <w:vanish/>
        </w:rPr>
        <w:t>Hasen (in Handout)</w:t>
      </w:r>
    </w:p>
    <w:p w14:paraId="5DD3B5BE" w14:textId="77777777" w:rsidR="00BA2CBC" w:rsidRDefault="006B00C8" w:rsidP="008861B8">
      <w:pPr>
        <w:tabs>
          <w:tab w:val="left" w:pos="-1440"/>
        </w:tabs>
        <w:ind w:left="720"/>
      </w:pPr>
      <w:r>
        <w:t>E.</w:t>
      </w:r>
      <w:r>
        <w:tab/>
      </w:r>
      <w:r w:rsidR="00590079">
        <w:t xml:space="preserve">(10) Lobbying, CB </w:t>
      </w:r>
      <w:r w:rsidR="008861B8">
        <w:t>280-305</w:t>
      </w:r>
      <w:r w:rsidR="009662A1">
        <w:t xml:space="preserve">, </w:t>
      </w:r>
      <w:r w:rsidR="00014B6E">
        <w:t>Hasen 59-</w:t>
      </w:r>
      <w:r w:rsidR="008861B8">
        <w:t>76</w:t>
      </w:r>
    </w:p>
    <w:p w14:paraId="1DF0325C" w14:textId="77777777" w:rsidR="008861B8" w:rsidRDefault="008861B8" w:rsidP="008861B8">
      <w:pPr>
        <w:tabs>
          <w:tab w:val="left" w:pos="-1440"/>
        </w:tabs>
        <w:ind w:left="720"/>
      </w:pPr>
    </w:p>
    <w:p w14:paraId="22C8C253" w14:textId="77777777" w:rsidR="00A436D3" w:rsidRDefault="00A436D3" w:rsidP="00A436D3">
      <w:pPr>
        <w:pStyle w:val="Heading1"/>
      </w:pPr>
      <w:r>
        <w:t>III.</w:t>
      </w:r>
      <w:r>
        <w:tab/>
        <w:t>Direct Democracy as an Alternative to the Legislative Process</w:t>
      </w:r>
    </w:p>
    <w:p w14:paraId="0AD3A7E6" w14:textId="77777777" w:rsidR="00A436D3" w:rsidRDefault="00A436D3" w:rsidP="00A436D3">
      <w:pPr>
        <w:numPr>
          <w:ilvl w:val="0"/>
          <w:numId w:val="2"/>
        </w:numPr>
        <w:tabs>
          <w:tab w:val="left" w:pos="-1440"/>
        </w:tabs>
      </w:pPr>
    </w:p>
    <w:p w14:paraId="74DCC971" w14:textId="77777777" w:rsidR="00A436D3" w:rsidRDefault="00A436D3" w:rsidP="00A436D3">
      <w:pPr>
        <w:tabs>
          <w:tab w:val="left" w:pos="-1440"/>
        </w:tabs>
        <w:ind w:left="720"/>
      </w:pPr>
      <w:r>
        <w:t>A.</w:t>
      </w:r>
      <w:r>
        <w:tab/>
        <w:t xml:space="preserve">(11a) Pros and Cons, CB </w:t>
      </w:r>
      <w:r w:rsidR="008861B8">
        <w:t xml:space="preserve">367-71, 384 (bottom) </w:t>
      </w:r>
      <w:r w:rsidR="00014B6E">
        <w:t>–</w:t>
      </w:r>
      <w:r w:rsidR="008861B8">
        <w:t xml:space="preserve"> </w:t>
      </w:r>
      <w:r w:rsidR="00014B6E">
        <w:t>387, Hasen 91-97</w:t>
      </w:r>
    </w:p>
    <w:p w14:paraId="5528D84E" w14:textId="77777777" w:rsidR="00A436D3" w:rsidRDefault="00A436D3" w:rsidP="00A436D3">
      <w:pPr>
        <w:tabs>
          <w:tab w:val="left" w:pos="-1440"/>
        </w:tabs>
        <w:ind w:left="720"/>
      </w:pPr>
      <w:r>
        <w:t>B.</w:t>
      </w:r>
      <w:r>
        <w:tab/>
        <w:t xml:space="preserve">(11b) Single Subject Rule, CB </w:t>
      </w:r>
      <w:r w:rsidR="008861B8">
        <w:t xml:space="preserve">381 (bottom) </w:t>
      </w:r>
      <w:r w:rsidR="00014B6E">
        <w:t>–</w:t>
      </w:r>
      <w:r w:rsidR="008861B8">
        <w:t xml:space="preserve"> 384</w:t>
      </w:r>
      <w:r w:rsidR="00014B6E">
        <w:t>, Hasen 97-105</w:t>
      </w:r>
    </w:p>
    <w:p w14:paraId="1AFF03AD" w14:textId="77777777" w:rsidR="00014B6E" w:rsidRPr="00915A6A" w:rsidRDefault="00014B6E" w:rsidP="00A436D3">
      <w:pPr>
        <w:tabs>
          <w:tab w:val="left" w:pos="-1440"/>
        </w:tabs>
        <w:ind w:left="720"/>
      </w:pPr>
      <w:r>
        <w:t>C.</w:t>
      </w:r>
      <w:r>
        <w:tab/>
        <w:t>(11c) Financing Qualification Drives, Hasen 105 (bottom) - 109</w:t>
      </w:r>
    </w:p>
    <w:p w14:paraId="443CC76F" w14:textId="77777777" w:rsidR="00A436D3" w:rsidRDefault="00A436D3" w:rsidP="00A436D3">
      <w:pPr>
        <w:tabs>
          <w:tab w:val="left" w:pos="-1440"/>
        </w:tabs>
      </w:pPr>
    </w:p>
    <w:p w14:paraId="6ABBC104" w14:textId="158E74A5" w:rsidR="00C46BDA" w:rsidRDefault="00C46BDA">
      <w:pPr>
        <w:widowControl/>
        <w:jc w:val="left"/>
      </w:pPr>
      <w:r>
        <w:br w:type="page"/>
      </w:r>
    </w:p>
    <w:p w14:paraId="151DAA5F" w14:textId="77777777" w:rsidR="00A436D3" w:rsidRDefault="00A436D3" w:rsidP="00B02D4E">
      <w:pPr>
        <w:tabs>
          <w:tab w:val="left" w:pos="-1440"/>
        </w:tabs>
      </w:pPr>
    </w:p>
    <w:p w14:paraId="13AB5619" w14:textId="2F12A984" w:rsidR="00E83583" w:rsidRDefault="00E83583" w:rsidP="00E83583">
      <w:r>
        <w:rPr>
          <w:b/>
        </w:rPr>
        <w:t>IV.</w:t>
      </w:r>
      <w:r>
        <w:rPr>
          <w:b/>
        </w:rPr>
        <w:tab/>
        <w:t>Statutes as a Source of Public Policy</w:t>
      </w:r>
    </w:p>
    <w:p w14:paraId="18872536" w14:textId="77777777" w:rsidR="00E83583" w:rsidRDefault="00E83583" w:rsidP="00B02D4E">
      <w:pPr>
        <w:tabs>
          <w:tab w:val="left" w:pos="-1440"/>
        </w:tabs>
        <w:ind w:left="720"/>
      </w:pPr>
    </w:p>
    <w:p w14:paraId="3FE8B289" w14:textId="77777777" w:rsidR="00A436D3" w:rsidRDefault="00B02D4E" w:rsidP="00B02D4E">
      <w:pPr>
        <w:tabs>
          <w:tab w:val="left" w:pos="-1440"/>
        </w:tabs>
        <w:ind w:left="720"/>
      </w:pPr>
      <w:r>
        <w:t>A.</w:t>
      </w:r>
      <w:r>
        <w:tab/>
      </w:r>
      <w:r w:rsidR="00A436D3">
        <w:t xml:space="preserve">(12) Statutes as Principled Law, CB </w:t>
      </w:r>
      <w:r w:rsidR="00014B6E">
        <w:t>417-42</w:t>
      </w:r>
    </w:p>
    <w:p w14:paraId="5D1603D1" w14:textId="77777777" w:rsidR="00A436D3" w:rsidRDefault="00B02D4E" w:rsidP="00B02D4E">
      <w:pPr>
        <w:tabs>
          <w:tab w:val="left" w:pos="-1440"/>
        </w:tabs>
        <w:ind w:left="720"/>
      </w:pPr>
      <w:r>
        <w:t>B.</w:t>
      </w:r>
      <w:r>
        <w:tab/>
      </w:r>
      <w:r w:rsidR="00A436D3">
        <w:t>(13)</w:t>
      </w:r>
      <w:r w:rsidR="00014B6E">
        <w:t xml:space="preserve"> Stare Decisis, CB 443-61, Hasen 129 (bottom) – 31 </w:t>
      </w:r>
    </w:p>
    <w:p w14:paraId="309D3ECB" w14:textId="77777777" w:rsidR="00014B6E" w:rsidRDefault="00A436D3" w:rsidP="00014B6E">
      <w:pPr>
        <w:tabs>
          <w:tab w:val="left" w:pos="-1440"/>
        </w:tabs>
      </w:pPr>
      <w:r>
        <w:tab/>
      </w:r>
      <w:r>
        <w:tab/>
      </w:r>
    </w:p>
    <w:p w14:paraId="6B40C08F" w14:textId="77777777" w:rsidR="00A436D3" w:rsidRDefault="00A436D3" w:rsidP="00A436D3">
      <w:pPr>
        <w:pStyle w:val="Heading1"/>
      </w:pPr>
      <w:r>
        <w:t>V.</w:t>
      </w:r>
      <w:r>
        <w:tab/>
        <w:t>Statutory Interpretation: Theoretical Approaches</w:t>
      </w:r>
    </w:p>
    <w:p w14:paraId="2E280EAF" w14:textId="77777777" w:rsidR="00A436D3" w:rsidRDefault="00B02D4E" w:rsidP="00014B6E">
      <w:pPr>
        <w:tabs>
          <w:tab w:val="left" w:pos="-1440"/>
        </w:tabs>
        <w:ind w:left="720"/>
      </w:pPr>
      <w:r>
        <w:t>A.</w:t>
      </w:r>
      <w:r>
        <w:tab/>
        <w:t>(14</w:t>
      </w:r>
      <w:r w:rsidR="00A436D3">
        <w:t xml:space="preserve">) </w:t>
      </w:r>
      <w:r w:rsidR="00014B6E">
        <w:t>Intentionalism and Purposivism, 477-97</w:t>
      </w:r>
      <w:r w:rsidR="00813D32">
        <w:t>, 551-67 (top), Hasen 113-21</w:t>
      </w:r>
    </w:p>
    <w:p w14:paraId="51C8163B" w14:textId="77777777" w:rsidR="00A436D3" w:rsidRDefault="00B02D4E" w:rsidP="00A436D3">
      <w:pPr>
        <w:tabs>
          <w:tab w:val="left" w:pos="-1440"/>
        </w:tabs>
        <w:ind w:left="720"/>
      </w:pPr>
      <w:r>
        <w:t>B.</w:t>
      </w:r>
      <w:r>
        <w:tab/>
        <w:t>(15</w:t>
      </w:r>
      <w:r w:rsidR="00A436D3">
        <w:t xml:space="preserve">) The New Textualism, CB </w:t>
      </w:r>
      <w:r w:rsidR="00813D32">
        <w:t>568-85, Hasen 122-29</w:t>
      </w:r>
    </w:p>
    <w:p w14:paraId="0409BA4B" w14:textId="77777777" w:rsidR="00A436D3" w:rsidRDefault="00A436D3" w:rsidP="00A436D3">
      <w:pPr>
        <w:tabs>
          <w:tab w:val="left" w:pos="-1440"/>
        </w:tabs>
        <w:ind w:left="720"/>
      </w:pPr>
      <w:r>
        <w:t>C.</w:t>
      </w:r>
      <w:r w:rsidR="00B02D4E">
        <w:tab/>
        <w:t>(16</w:t>
      </w:r>
      <w:r w:rsidR="00813D32">
        <w:t>a) Economic Theories, CB 593</w:t>
      </w:r>
      <w:r>
        <w:t xml:space="preserve"> (bottom)</w:t>
      </w:r>
      <w:r w:rsidR="00813D32">
        <w:t xml:space="preserve"> – 609, 614-24</w:t>
      </w:r>
    </w:p>
    <w:p w14:paraId="043C6F18" w14:textId="77777777" w:rsidR="00A436D3" w:rsidRDefault="00B02D4E" w:rsidP="00A436D3">
      <w:pPr>
        <w:tabs>
          <w:tab w:val="left" w:pos="-1440"/>
        </w:tabs>
        <w:ind w:left="720"/>
      </w:pPr>
      <w:r>
        <w:t>D.</w:t>
      </w:r>
      <w:r>
        <w:tab/>
        <w:t>(16</w:t>
      </w:r>
      <w:r w:rsidR="00A436D3">
        <w:t xml:space="preserve">b) Dynamic Interpretation, CB </w:t>
      </w:r>
      <w:r w:rsidR="00813D32">
        <w:t>514-29, 625-29, 638 (bottom) - 41</w:t>
      </w:r>
    </w:p>
    <w:p w14:paraId="1D7EA6C4" w14:textId="77777777" w:rsidR="00A436D3" w:rsidRDefault="00A436D3" w:rsidP="00A436D3">
      <w:pPr>
        <w:tabs>
          <w:tab w:val="left" w:pos="-1440"/>
        </w:tabs>
      </w:pPr>
    </w:p>
    <w:p w14:paraId="3BDD3C17" w14:textId="77777777" w:rsidR="00A436D3" w:rsidRDefault="00A436D3" w:rsidP="00A436D3">
      <w:pPr>
        <w:pStyle w:val="Heading1"/>
      </w:pPr>
      <w:r>
        <w:t>VI.</w:t>
      </w:r>
      <w:r>
        <w:tab/>
        <w:t>Statutory Interpretation: Practical Applications</w:t>
      </w:r>
    </w:p>
    <w:p w14:paraId="31570C0F" w14:textId="77777777" w:rsidR="00A436D3" w:rsidRDefault="00A436D3" w:rsidP="00A436D3">
      <w:pPr>
        <w:tabs>
          <w:tab w:val="left" w:pos="-1440"/>
        </w:tabs>
        <w:ind w:left="720"/>
      </w:pPr>
      <w:r>
        <w:t>A.</w:t>
      </w:r>
      <w:r>
        <w:tab/>
        <w:t>Intrinsic Sources of Interpretation: The Canons</w:t>
      </w:r>
    </w:p>
    <w:p w14:paraId="73765CC9" w14:textId="77777777" w:rsidR="00A436D3" w:rsidRDefault="00B02D4E" w:rsidP="00A436D3">
      <w:pPr>
        <w:tabs>
          <w:tab w:val="left" w:pos="-1440"/>
        </w:tabs>
        <w:ind w:left="1440"/>
      </w:pPr>
      <w:r>
        <w:t>1. (17</w:t>
      </w:r>
      <w:r w:rsidR="00A436D3">
        <w:t xml:space="preserve">) Linguistic and Grammatical Aids, CB </w:t>
      </w:r>
      <w:r w:rsidR="00813D32">
        <w:t>643-79, Hasen, 133-53</w:t>
      </w:r>
    </w:p>
    <w:p w14:paraId="1ED273D9" w14:textId="77777777" w:rsidR="00A436D3" w:rsidRDefault="00A436D3" w:rsidP="00A436D3">
      <w:pPr>
        <w:tabs>
          <w:tab w:val="left" w:pos="-1440"/>
        </w:tabs>
        <w:ind w:left="720"/>
      </w:pPr>
      <w:r>
        <w:tab/>
        <w:t>2. Policy Aids</w:t>
      </w:r>
    </w:p>
    <w:p w14:paraId="0AB303CF" w14:textId="77777777" w:rsidR="00A436D3" w:rsidRDefault="00B02D4E" w:rsidP="00A436D3">
      <w:pPr>
        <w:tabs>
          <w:tab w:val="left" w:pos="-1440"/>
        </w:tabs>
        <w:ind w:left="720"/>
      </w:pPr>
      <w:r>
        <w:tab/>
      </w:r>
      <w:r>
        <w:tab/>
        <w:t>a. (18</w:t>
      </w:r>
      <w:r w:rsidR="00A436D3">
        <w:t>a</w:t>
      </w:r>
      <w:r w:rsidR="000A6318">
        <w:t>) The Rule of Lenity, CB 690-712</w:t>
      </w:r>
    </w:p>
    <w:p w14:paraId="10A5C39D" w14:textId="2F88DFBA" w:rsidR="00A436D3" w:rsidRDefault="00B02D4E" w:rsidP="00A436D3">
      <w:pPr>
        <w:tabs>
          <w:tab w:val="left" w:pos="-1440"/>
        </w:tabs>
        <w:ind w:left="2160"/>
      </w:pPr>
      <w:r>
        <w:t>b. (18</w:t>
      </w:r>
      <w:r w:rsidR="00A436D3">
        <w:t xml:space="preserve">b) Avoiding Constitutional Problems, CB </w:t>
      </w:r>
      <w:r w:rsidR="00FD6831">
        <w:t>712-2</w:t>
      </w:r>
      <w:r w:rsidR="000A6318">
        <w:t>9 (top)</w:t>
      </w:r>
    </w:p>
    <w:p w14:paraId="424E2657" w14:textId="77777777" w:rsidR="00A436D3" w:rsidRDefault="00A436D3" w:rsidP="00A436D3">
      <w:pPr>
        <w:tabs>
          <w:tab w:val="left" w:pos="-1440"/>
        </w:tabs>
        <w:ind w:left="720"/>
      </w:pPr>
      <w:r>
        <w:tab/>
        <w:t xml:space="preserve">3. </w:t>
      </w:r>
      <w:r w:rsidR="00B02D4E">
        <w:t>(19</w:t>
      </w:r>
      <w:r w:rsidR="000A6318">
        <w:t>a) New Federalism, CB 730-46</w:t>
      </w:r>
    </w:p>
    <w:p w14:paraId="4B21BC4F" w14:textId="77777777" w:rsidR="00A436D3" w:rsidRDefault="00B02D4E" w:rsidP="00A436D3">
      <w:pPr>
        <w:tabs>
          <w:tab w:val="left" w:pos="-1440"/>
        </w:tabs>
        <w:ind w:left="1440"/>
      </w:pPr>
      <w:r>
        <w:t>4. (19</w:t>
      </w:r>
      <w:r w:rsidR="00A436D3">
        <w:t xml:space="preserve">b) Debunking and Defending the Canons, CB </w:t>
      </w:r>
      <w:r w:rsidR="000A6318">
        <w:t>749-58, Hasen 153-62</w:t>
      </w:r>
    </w:p>
    <w:p w14:paraId="68420155" w14:textId="77777777" w:rsidR="00A436D3" w:rsidRDefault="00A436D3" w:rsidP="00A436D3">
      <w:pPr>
        <w:tabs>
          <w:tab w:val="left" w:pos="-1440"/>
        </w:tabs>
        <w:ind w:left="720"/>
      </w:pPr>
    </w:p>
    <w:p w14:paraId="473A0387" w14:textId="77777777" w:rsidR="00A436D3" w:rsidRDefault="00A436D3" w:rsidP="00A436D3">
      <w:pPr>
        <w:tabs>
          <w:tab w:val="left" w:pos="-1440"/>
        </w:tabs>
        <w:ind w:left="720"/>
      </w:pPr>
      <w:r>
        <w:t>B.</w:t>
      </w:r>
      <w:r>
        <w:tab/>
        <w:t>Extrinsic Sources of Interpretation: Legislative History</w:t>
      </w:r>
    </w:p>
    <w:p w14:paraId="17A6303B" w14:textId="77777777" w:rsidR="00A436D3" w:rsidRDefault="00B02D4E" w:rsidP="00A436D3">
      <w:pPr>
        <w:tabs>
          <w:tab w:val="left" w:pos="-1440"/>
        </w:tabs>
        <w:ind w:left="720"/>
      </w:pPr>
      <w:r>
        <w:tab/>
        <w:t>1. (20</w:t>
      </w:r>
      <w:r w:rsidR="00A436D3">
        <w:t xml:space="preserve">a) Introduction, CB </w:t>
      </w:r>
      <w:r w:rsidR="000A6318">
        <w:t>761-76</w:t>
      </w:r>
    </w:p>
    <w:p w14:paraId="5D950745" w14:textId="77777777" w:rsidR="00A436D3" w:rsidRDefault="00B02D4E" w:rsidP="00A436D3">
      <w:pPr>
        <w:tabs>
          <w:tab w:val="left" w:pos="-1440"/>
        </w:tabs>
        <w:ind w:left="720"/>
      </w:pPr>
      <w:r>
        <w:tab/>
        <w:t>2. (20</w:t>
      </w:r>
      <w:r w:rsidR="00A436D3">
        <w:t xml:space="preserve">b) Historical Background and Committee Reports, CB </w:t>
      </w:r>
      <w:r w:rsidR="000A6318">
        <w:t>776-86 (top)</w:t>
      </w:r>
    </w:p>
    <w:p w14:paraId="3944D8FA" w14:textId="79FDFBC6" w:rsidR="00A436D3" w:rsidRDefault="00B02D4E" w:rsidP="00A436D3">
      <w:pPr>
        <w:tabs>
          <w:tab w:val="left" w:pos="-1440"/>
        </w:tabs>
        <w:ind w:left="720"/>
      </w:pPr>
      <w:r>
        <w:tab/>
        <w:t>3. (20</w:t>
      </w:r>
      <w:r w:rsidR="00A436D3">
        <w:t>c) Hearin</w:t>
      </w:r>
      <w:r w:rsidR="000A6318">
        <w:t>gs and Floor Debates, CB 786-96</w:t>
      </w:r>
      <w:r w:rsidR="00E83583">
        <w:t>, Hasen 163-73 (top)</w:t>
      </w:r>
    </w:p>
    <w:p w14:paraId="2144D2C7" w14:textId="77777777" w:rsidR="000A6318" w:rsidRDefault="00B02D4E" w:rsidP="00A436D3">
      <w:pPr>
        <w:tabs>
          <w:tab w:val="left" w:pos="-1440"/>
        </w:tabs>
        <w:ind w:left="1440"/>
      </w:pPr>
      <w:r>
        <w:t>4. (21</w:t>
      </w:r>
      <w:r w:rsidR="00A436D3">
        <w:t xml:space="preserve">) Statements by Sponsors, Presidential Signing and Veto Statements, </w:t>
      </w:r>
      <w:r w:rsidR="000A6318">
        <w:t>813 (bottom) – 829, 848 (bottom) – 52 (middle)</w:t>
      </w:r>
    </w:p>
    <w:p w14:paraId="6856DB9B" w14:textId="5F51F368" w:rsidR="00A436D3" w:rsidRDefault="00B02D4E" w:rsidP="00A436D3">
      <w:pPr>
        <w:tabs>
          <w:tab w:val="left" w:pos="-1440"/>
        </w:tabs>
        <w:ind w:left="1440"/>
      </w:pPr>
      <w:r>
        <w:t>5. (22</w:t>
      </w:r>
      <w:r w:rsidR="00A436D3">
        <w:t xml:space="preserve">a) Legislative Inaction and Post-Enactment Legislative History, CB </w:t>
      </w:r>
      <w:r w:rsidR="000A6318">
        <w:t>829-48</w:t>
      </w:r>
      <w:r w:rsidR="00E83583">
        <w:t>,</w:t>
      </w:r>
    </w:p>
    <w:p w14:paraId="1FB0DE6E" w14:textId="65F3C7A1" w:rsidR="00E83583" w:rsidRDefault="00E83583" w:rsidP="00A436D3">
      <w:pPr>
        <w:tabs>
          <w:tab w:val="left" w:pos="-1440"/>
        </w:tabs>
        <w:ind w:left="1440"/>
      </w:pPr>
      <w:r>
        <w:t>Hasen, 173-79 (top)</w:t>
      </w:r>
    </w:p>
    <w:p w14:paraId="6733B5CD" w14:textId="77777777" w:rsidR="00A436D3" w:rsidRDefault="00B02D4E" w:rsidP="00A436D3">
      <w:pPr>
        <w:tabs>
          <w:tab w:val="left" w:pos="-1440"/>
        </w:tabs>
        <w:ind w:left="720"/>
      </w:pPr>
      <w:r>
        <w:tab/>
        <w:t>6. (22</w:t>
      </w:r>
      <w:r w:rsidR="00A436D3">
        <w:t xml:space="preserve">b) Interpretation of Ballot Measures, CB </w:t>
      </w:r>
      <w:r w:rsidR="00014B6E">
        <w:t>388-391</w:t>
      </w:r>
    </w:p>
    <w:p w14:paraId="45D27A46" w14:textId="77777777" w:rsidR="00A436D3" w:rsidRDefault="00A436D3" w:rsidP="00A436D3">
      <w:pPr>
        <w:tabs>
          <w:tab w:val="left" w:pos="-1440"/>
        </w:tabs>
        <w:ind w:left="720"/>
      </w:pPr>
      <w:r>
        <w:tab/>
      </w:r>
    </w:p>
    <w:p w14:paraId="36A9B27C" w14:textId="77777777" w:rsidR="00A436D3" w:rsidRDefault="00A436D3" w:rsidP="00A436D3">
      <w:pPr>
        <w:tabs>
          <w:tab w:val="left" w:pos="-1440"/>
        </w:tabs>
        <w:ind w:left="720"/>
      </w:pPr>
      <w:r>
        <w:t>C.</w:t>
      </w:r>
      <w:r>
        <w:tab/>
        <w:t>Extrinsic Sources of Interpretation: Interpretation in Light of Other Statutes</w:t>
      </w:r>
    </w:p>
    <w:p w14:paraId="27311DD5" w14:textId="77777777" w:rsidR="00A436D3" w:rsidRDefault="00B02D4E" w:rsidP="00A436D3">
      <w:pPr>
        <w:tabs>
          <w:tab w:val="left" w:pos="-1440"/>
        </w:tabs>
        <w:ind w:left="720"/>
      </w:pPr>
      <w:r>
        <w:tab/>
        <w:t>1. (23</w:t>
      </w:r>
      <w:r w:rsidR="00A436D3">
        <w:t xml:space="preserve">a) Similar statutes, CB </w:t>
      </w:r>
      <w:r w:rsidR="000A6318">
        <w:t>859-68</w:t>
      </w:r>
    </w:p>
    <w:p w14:paraId="2252459A" w14:textId="543E4613" w:rsidR="00A436D3" w:rsidRDefault="00B02D4E" w:rsidP="00A436D3">
      <w:pPr>
        <w:tabs>
          <w:tab w:val="left" w:pos="-1440"/>
        </w:tabs>
        <w:ind w:left="720"/>
      </w:pPr>
      <w:r>
        <w:tab/>
        <w:t>2. (23</w:t>
      </w:r>
      <w:r w:rsidR="00A436D3">
        <w:t xml:space="preserve">b) Subsequent statutes, CB </w:t>
      </w:r>
      <w:r w:rsidR="000A6318">
        <w:t>868-90</w:t>
      </w:r>
      <w:r w:rsidR="00E83583">
        <w:t>, Hasen 179-82</w:t>
      </w:r>
    </w:p>
    <w:p w14:paraId="4944FAE3" w14:textId="77777777" w:rsidR="00A436D3" w:rsidRDefault="00A436D3" w:rsidP="00A436D3">
      <w:pPr>
        <w:tabs>
          <w:tab w:val="left" w:pos="-1440"/>
        </w:tabs>
        <w:ind w:left="720"/>
      </w:pPr>
    </w:p>
    <w:p w14:paraId="7659BD6A" w14:textId="77777777" w:rsidR="00A436D3" w:rsidRPr="00893C54" w:rsidRDefault="00A436D3" w:rsidP="00A436D3">
      <w:pPr>
        <w:tabs>
          <w:tab w:val="left" w:pos="-1440"/>
        </w:tabs>
        <w:ind w:left="1440" w:hanging="720"/>
      </w:pPr>
      <w:r>
        <w:t>D.</w:t>
      </w:r>
      <w:r>
        <w:tab/>
        <w:t>Extrinsic Sources: Deference to Agency Interpretations (</w:t>
      </w:r>
      <w:r>
        <w:rPr>
          <w:i/>
        </w:rPr>
        <w:t xml:space="preserve">Chevron </w:t>
      </w:r>
      <w:r>
        <w:t xml:space="preserve">and </w:t>
      </w:r>
      <w:r>
        <w:rPr>
          <w:i/>
        </w:rPr>
        <w:t>Skidmore</w:t>
      </w:r>
      <w:r>
        <w:t xml:space="preserve"> Deference)</w:t>
      </w:r>
    </w:p>
    <w:p w14:paraId="6BC47B60" w14:textId="77777777" w:rsidR="00A436D3" w:rsidRPr="00B02D4E" w:rsidRDefault="00B02D4E" w:rsidP="00A436D3">
      <w:pPr>
        <w:tabs>
          <w:tab w:val="left" w:pos="-1440"/>
        </w:tabs>
        <w:ind w:left="1440"/>
      </w:pPr>
      <w:r>
        <w:t>(24</w:t>
      </w:r>
      <w:r w:rsidR="00A436D3">
        <w:t xml:space="preserve">) CB </w:t>
      </w:r>
      <w:r w:rsidR="000A6318">
        <w:t>1073-1105</w:t>
      </w:r>
      <w:r>
        <w:t xml:space="preserve">, 1124-27, Hasen, 183-206, </w:t>
      </w:r>
      <w:r>
        <w:rPr>
          <w:i/>
        </w:rPr>
        <w:t>King v. Burwell</w:t>
      </w:r>
      <w:r>
        <w:t>, on TWEN</w:t>
      </w:r>
    </w:p>
    <w:p w14:paraId="6BBDF30E" w14:textId="77777777" w:rsidR="00A436D3" w:rsidRDefault="00A436D3" w:rsidP="00A436D3">
      <w:pPr>
        <w:tabs>
          <w:tab w:val="left" w:pos="-1440"/>
        </w:tabs>
        <w:ind w:left="720"/>
      </w:pPr>
      <w:r>
        <w:tab/>
      </w:r>
    </w:p>
    <w:p w14:paraId="7122508D" w14:textId="77777777" w:rsidR="00A436D3" w:rsidRDefault="00A436D3" w:rsidP="00BA2CBC">
      <w:pPr>
        <w:tabs>
          <w:tab w:val="left" w:pos="-1440"/>
        </w:tabs>
      </w:pPr>
    </w:p>
    <w:sectPr w:rsidR="00A436D3">
      <w:footerReference w:type="even" r:id="rId8"/>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BB6CF" w14:textId="77777777" w:rsidR="005932D6" w:rsidRDefault="005932D6">
      <w:r>
        <w:separator/>
      </w:r>
    </w:p>
  </w:endnote>
  <w:endnote w:type="continuationSeparator" w:id="0">
    <w:p w14:paraId="5B615C72" w14:textId="77777777" w:rsidR="005932D6" w:rsidRDefault="0059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0702" w14:textId="77777777" w:rsidR="005932D6" w:rsidRDefault="005932D6" w:rsidP="005A1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0A43B" w14:textId="77777777" w:rsidR="005932D6" w:rsidRDefault="005932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1642F" w14:textId="77777777" w:rsidR="005932D6" w:rsidRDefault="005932D6">
    <w:pPr>
      <w:spacing w:line="240" w:lineRule="exact"/>
    </w:pPr>
  </w:p>
  <w:p w14:paraId="4E1D3757" w14:textId="77777777" w:rsidR="005932D6" w:rsidRDefault="005932D6" w:rsidP="00C17F35">
    <w:pPr>
      <w:framePr w:wrap="around" w:vAnchor="text" w:hAnchor="margin" w:xAlign="center" w:y="1"/>
      <w:jc w:val="center"/>
    </w:pPr>
    <w:r>
      <w:fldChar w:fldCharType="begin"/>
    </w:r>
    <w:r>
      <w:instrText xml:space="preserve">PAGE </w:instrText>
    </w:r>
    <w:r>
      <w:fldChar w:fldCharType="separate"/>
    </w:r>
    <w:r w:rsidR="005F2C4D">
      <w:rPr>
        <w:noProof/>
      </w:rPr>
      <w:t>1</w:t>
    </w:r>
    <w:r>
      <w:fldChar w:fldCharType="end"/>
    </w:r>
  </w:p>
  <w:p w14:paraId="51E0DD65" w14:textId="77777777" w:rsidR="005932D6" w:rsidRDefault="005932D6">
    <w:pPr>
      <w:rPr>
        <w:sz w:val="1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923CA" w14:textId="77777777" w:rsidR="005932D6" w:rsidRDefault="005932D6">
      <w:r>
        <w:separator/>
      </w:r>
    </w:p>
  </w:footnote>
  <w:footnote w:type="continuationSeparator" w:id="0">
    <w:p w14:paraId="75C06C39" w14:textId="77777777" w:rsidR="005932D6" w:rsidRDefault="005932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3495"/>
    <w:multiLevelType w:val="singleLevel"/>
    <w:tmpl w:val="04090013"/>
    <w:lvl w:ilvl="0">
      <w:start w:val="5"/>
      <w:numFmt w:val="upperRoman"/>
      <w:lvlText w:val="%1."/>
      <w:lvlJc w:val="left"/>
      <w:pPr>
        <w:tabs>
          <w:tab w:val="num" w:pos="720"/>
        </w:tabs>
        <w:ind w:left="720" w:hanging="720"/>
      </w:pPr>
      <w:rPr>
        <w:rFonts w:hint="default"/>
      </w:rPr>
    </w:lvl>
  </w:abstractNum>
  <w:abstractNum w:abstractNumId="1">
    <w:nsid w:val="20AD4969"/>
    <w:multiLevelType w:val="singleLevel"/>
    <w:tmpl w:val="2F86AA0A"/>
    <w:lvl w:ilvl="0">
      <w:start w:val="1"/>
      <w:numFmt w:val="upperLetter"/>
      <w:lvlText w:val="%1."/>
      <w:lvlJc w:val="left"/>
      <w:pPr>
        <w:tabs>
          <w:tab w:val="num" w:pos="1440"/>
        </w:tabs>
        <w:ind w:left="1440" w:hanging="720"/>
      </w:pPr>
      <w:rPr>
        <w:rFonts w:hint="default"/>
      </w:rPr>
    </w:lvl>
  </w:abstractNum>
  <w:abstractNum w:abstractNumId="2">
    <w:nsid w:val="26B81C63"/>
    <w:multiLevelType w:val="singleLevel"/>
    <w:tmpl w:val="81C0290E"/>
    <w:lvl w:ilvl="0">
      <w:start w:val="1"/>
      <w:numFmt w:val="upperRoman"/>
      <w:lvlText w:val=""/>
      <w:lvlJc w:val="left"/>
      <w:pPr>
        <w:tabs>
          <w:tab w:val="num" w:pos="360"/>
        </w:tabs>
        <w:ind w:left="360" w:hanging="36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E2"/>
    <w:rsid w:val="00014B6E"/>
    <w:rsid w:val="00026712"/>
    <w:rsid w:val="0004617A"/>
    <w:rsid w:val="00080C48"/>
    <w:rsid w:val="00097A57"/>
    <w:rsid w:val="000A6318"/>
    <w:rsid w:val="00106DDC"/>
    <w:rsid w:val="001B1CB2"/>
    <w:rsid w:val="001B43B0"/>
    <w:rsid w:val="001C1DB2"/>
    <w:rsid w:val="001D6FF0"/>
    <w:rsid w:val="00242AFB"/>
    <w:rsid w:val="00264FC0"/>
    <w:rsid w:val="002F29B1"/>
    <w:rsid w:val="00305FB5"/>
    <w:rsid w:val="003605A2"/>
    <w:rsid w:val="003C26E2"/>
    <w:rsid w:val="003E62B3"/>
    <w:rsid w:val="00414FB2"/>
    <w:rsid w:val="00416265"/>
    <w:rsid w:val="004263EC"/>
    <w:rsid w:val="00476995"/>
    <w:rsid w:val="00480752"/>
    <w:rsid w:val="004E1984"/>
    <w:rsid w:val="00500624"/>
    <w:rsid w:val="00535E60"/>
    <w:rsid w:val="00542091"/>
    <w:rsid w:val="00547188"/>
    <w:rsid w:val="00590079"/>
    <w:rsid w:val="005932D6"/>
    <w:rsid w:val="005A1522"/>
    <w:rsid w:val="005F155E"/>
    <w:rsid w:val="005F2C4D"/>
    <w:rsid w:val="006269CB"/>
    <w:rsid w:val="00631D4B"/>
    <w:rsid w:val="0067120A"/>
    <w:rsid w:val="006B00C8"/>
    <w:rsid w:val="00741A4A"/>
    <w:rsid w:val="007662C1"/>
    <w:rsid w:val="007722F6"/>
    <w:rsid w:val="00782FA7"/>
    <w:rsid w:val="007A79E5"/>
    <w:rsid w:val="008015E2"/>
    <w:rsid w:val="00813D32"/>
    <w:rsid w:val="00816D34"/>
    <w:rsid w:val="00840E30"/>
    <w:rsid w:val="008767ED"/>
    <w:rsid w:val="008861B8"/>
    <w:rsid w:val="008C3850"/>
    <w:rsid w:val="008D42D5"/>
    <w:rsid w:val="008E7AF2"/>
    <w:rsid w:val="00914D46"/>
    <w:rsid w:val="00915A6A"/>
    <w:rsid w:val="009662A1"/>
    <w:rsid w:val="009902A0"/>
    <w:rsid w:val="009A6F94"/>
    <w:rsid w:val="009B291B"/>
    <w:rsid w:val="009E2362"/>
    <w:rsid w:val="009E41D6"/>
    <w:rsid w:val="009E673B"/>
    <w:rsid w:val="00A436D3"/>
    <w:rsid w:val="00A7074A"/>
    <w:rsid w:val="00B02D4E"/>
    <w:rsid w:val="00B17B90"/>
    <w:rsid w:val="00B9381F"/>
    <w:rsid w:val="00BA2CBC"/>
    <w:rsid w:val="00BB5AE5"/>
    <w:rsid w:val="00BE1981"/>
    <w:rsid w:val="00C17F35"/>
    <w:rsid w:val="00C46BDA"/>
    <w:rsid w:val="00C54EA6"/>
    <w:rsid w:val="00C620E0"/>
    <w:rsid w:val="00CB0EBB"/>
    <w:rsid w:val="00CF3AFA"/>
    <w:rsid w:val="00DB4A4D"/>
    <w:rsid w:val="00DE4C62"/>
    <w:rsid w:val="00E202F9"/>
    <w:rsid w:val="00E83583"/>
    <w:rsid w:val="00EE75EB"/>
    <w:rsid w:val="00EF0DDE"/>
    <w:rsid w:val="00F02039"/>
    <w:rsid w:val="00F314D4"/>
    <w:rsid w:val="00F57377"/>
    <w:rsid w:val="00F71F9F"/>
    <w:rsid w:val="00FB3FA9"/>
    <w:rsid w:val="00FD30CF"/>
    <w:rsid w:val="00FD6831"/>
    <w:rsid w:val="00FF0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DE00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Emphasis">
    <w:name w:val="Emphasis"/>
    <w:basedOn w:val="DefaultParagraphFont"/>
    <w:qFormat/>
    <w:rPr>
      <w:i/>
      <w:iCs/>
    </w:rPr>
  </w:style>
  <w:style w:type="paragraph" w:styleId="BalloonText">
    <w:name w:val="Balloon Text"/>
    <w:basedOn w:val="Normal"/>
    <w:semiHidden/>
    <w:rsid w:val="0004617A"/>
    <w:rPr>
      <w:rFonts w:ascii="Tahoma" w:hAnsi="Tahoma" w:cs="Tahoma"/>
      <w:sz w:val="16"/>
      <w:szCs w:val="16"/>
    </w:rPr>
  </w:style>
  <w:style w:type="paragraph" w:styleId="Footer">
    <w:name w:val="footer"/>
    <w:basedOn w:val="Normal"/>
    <w:rsid w:val="00C17F35"/>
    <w:pPr>
      <w:tabs>
        <w:tab w:val="center" w:pos="4320"/>
        <w:tab w:val="right" w:pos="8640"/>
      </w:tabs>
    </w:pPr>
  </w:style>
  <w:style w:type="character" w:styleId="PageNumber">
    <w:name w:val="page number"/>
    <w:basedOn w:val="DefaultParagraphFont"/>
    <w:rsid w:val="00C17F35"/>
  </w:style>
  <w:style w:type="character" w:styleId="Hyperlink">
    <w:name w:val="Hyperlink"/>
    <w:basedOn w:val="DefaultParagraphFont"/>
    <w:rsid w:val="00E202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Emphasis">
    <w:name w:val="Emphasis"/>
    <w:basedOn w:val="DefaultParagraphFont"/>
    <w:qFormat/>
    <w:rPr>
      <w:i/>
      <w:iCs/>
    </w:rPr>
  </w:style>
  <w:style w:type="paragraph" w:styleId="BalloonText">
    <w:name w:val="Balloon Text"/>
    <w:basedOn w:val="Normal"/>
    <w:semiHidden/>
    <w:rsid w:val="0004617A"/>
    <w:rPr>
      <w:rFonts w:ascii="Tahoma" w:hAnsi="Tahoma" w:cs="Tahoma"/>
      <w:sz w:val="16"/>
      <w:szCs w:val="16"/>
    </w:rPr>
  </w:style>
  <w:style w:type="paragraph" w:styleId="Footer">
    <w:name w:val="footer"/>
    <w:basedOn w:val="Normal"/>
    <w:rsid w:val="00C17F35"/>
    <w:pPr>
      <w:tabs>
        <w:tab w:val="center" w:pos="4320"/>
        <w:tab w:val="right" w:pos="8640"/>
      </w:tabs>
    </w:pPr>
  </w:style>
  <w:style w:type="character" w:styleId="PageNumber">
    <w:name w:val="page number"/>
    <w:basedOn w:val="DefaultParagraphFont"/>
    <w:rsid w:val="00C17F35"/>
  </w:style>
  <w:style w:type="character" w:styleId="Hyperlink">
    <w:name w:val="Hyperlink"/>
    <w:basedOn w:val="DefaultParagraphFont"/>
    <w:rsid w:val="00E2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1058</Words>
  <Characters>6033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Professor Rick Hasen</vt:lpstr>
    </vt:vector>
  </TitlesOfParts>
  <Company>Loyola Law School</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Rick Hasen</dc:title>
  <dc:subject/>
  <dc:creator>LLS</dc:creator>
  <cp:keywords/>
  <dc:description/>
  <cp:lastModifiedBy>Rick Hasen</cp:lastModifiedBy>
  <cp:revision>8</cp:revision>
  <cp:lastPrinted>2009-07-09T16:01:00Z</cp:lastPrinted>
  <dcterms:created xsi:type="dcterms:W3CDTF">2015-07-28T16:38:00Z</dcterms:created>
  <dcterms:modified xsi:type="dcterms:W3CDTF">2015-07-29T15:38:00Z</dcterms:modified>
</cp:coreProperties>
</file>